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78" w:rsidRPr="00430978" w:rsidRDefault="00430978" w:rsidP="00430978">
      <w:pPr>
        <w:jc w:val="center"/>
        <w:rPr>
          <w:rFonts w:ascii="Cambria Math" w:hAnsi="Cambria Math" w:cs="Aharoni"/>
          <w:b/>
          <w:color w:val="FF0000"/>
          <w:sz w:val="36"/>
          <w:szCs w:val="36"/>
          <w:lang w:val="en-US"/>
        </w:rPr>
      </w:pPr>
      <w:r w:rsidRPr="00430978">
        <w:rPr>
          <w:rFonts w:ascii="Cambria Math" w:hAnsi="Cambria Math" w:cs="Aharoni"/>
          <w:b/>
          <w:color w:val="FF0000"/>
          <w:sz w:val="36"/>
          <w:szCs w:val="36"/>
          <w:lang w:val="en-US"/>
        </w:rPr>
        <w:t xml:space="preserve">MAKİNE PROGRAMINDA ATÖLYE VE </w:t>
      </w:r>
      <w:bookmarkStart w:id="0" w:name="_GoBack"/>
      <w:bookmarkEnd w:id="0"/>
      <w:proofErr w:type="gramStart"/>
      <w:r w:rsidRPr="00430978">
        <w:rPr>
          <w:rFonts w:ascii="Cambria Math" w:hAnsi="Cambria Math" w:cs="Aharoni"/>
          <w:b/>
          <w:color w:val="FF0000"/>
          <w:sz w:val="36"/>
          <w:szCs w:val="36"/>
          <w:lang w:val="en-US"/>
        </w:rPr>
        <w:t>LABARATUVARLARIMIZA  YENİ</w:t>
      </w:r>
      <w:proofErr w:type="gramEnd"/>
      <w:r w:rsidRPr="00430978">
        <w:rPr>
          <w:rFonts w:ascii="Cambria Math" w:hAnsi="Cambria Math" w:cs="Aharoni"/>
          <w:b/>
          <w:color w:val="FF0000"/>
          <w:sz w:val="36"/>
          <w:szCs w:val="36"/>
          <w:lang w:val="en-US"/>
        </w:rPr>
        <w:t xml:space="preserve"> MAKİNALAR EKLENDİ</w:t>
      </w:r>
    </w:p>
    <w:p w:rsidR="00430978" w:rsidRPr="00430978" w:rsidRDefault="00430978" w:rsidP="00430978">
      <w:pPr>
        <w:jc w:val="both"/>
        <w:rPr>
          <w:rFonts w:ascii="Cambria Math" w:hAnsi="Cambria Math" w:cs="Aharoni"/>
          <w:sz w:val="36"/>
          <w:szCs w:val="36"/>
          <w:lang w:val="en-US"/>
        </w:rPr>
      </w:pPr>
      <w:r w:rsidRPr="00430978">
        <w:rPr>
          <w:rFonts w:ascii="Cambria Math" w:hAnsi="Cambria Math" w:cs="Aharoni"/>
          <w:sz w:val="36"/>
          <w:szCs w:val="36"/>
          <w:lang w:val="en-US"/>
        </w:rPr>
        <w:t xml:space="preserve">İskenderun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Teknik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Üniversitesi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(İSTE) İskenderun MYO, 2019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yılı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“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İmalat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Sanayisine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Yönelik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Mesleki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Eğitimin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Geliştirilmesi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Mali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Destek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Programı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(MESLEK)”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proje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çağrısına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“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Makina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İmalatına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Yönelik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Eğitim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Teknolojilerinin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Geliştirilmesi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”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proje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başlığı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ile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başvuruda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bulunmuş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proje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TR63/19/MESLEK/0007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Sözleşme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numarası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kabul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edilmiştir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. Bu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proje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ile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İSTE İskenderun MYO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bünyesinde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Hidrolik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>/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Pnömatik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Laboratuvarı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, CNC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Atölyesi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,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Kaynak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Atölyesi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güncel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teknoloji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ile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uyumlu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teçhizatlara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kavuşmuş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ayrıca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3B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Tasarım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Prototipleme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Atölyesi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kurulmuştur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. </w:t>
      </w:r>
      <w:proofErr w:type="spellStart"/>
      <w:proofErr w:type="gramStart"/>
      <w:r w:rsidRPr="00430978">
        <w:rPr>
          <w:rFonts w:ascii="Cambria Math" w:hAnsi="Cambria Math" w:cs="Aharoni"/>
          <w:sz w:val="36"/>
          <w:szCs w:val="36"/>
          <w:lang w:val="en-US"/>
        </w:rPr>
        <w:t>Projemiz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, İskenderun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Ticaret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Sanayi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Odası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ortaklığı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TR63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bölgemizde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faaliyet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gösteren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5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iştirakçi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firma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katılımı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ile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gerçekleştirilmiştir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>.</w:t>
      </w:r>
      <w:proofErr w:type="gram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Projemiz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>, </w:t>
      </w:r>
      <w:r w:rsidRPr="00430978">
        <w:rPr>
          <w:rFonts w:ascii="Cambria Math" w:hAnsi="Cambria Math" w:cs="Aharoni"/>
          <w:b/>
          <w:bCs/>
          <w:sz w:val="36"/>
          <w:szCs w:val="36"/>
          <w:lang w:val="en-US"/>
        </w:rPr>
        <w:t>920.663,33 TL</w:t>
      </w:r>
      <w:r w:rsidRPr="00430978">
        <w:rPr>
          <w:rFonts w:ascii="Cambria Math" w:hAnsi="Cambria Math" w:cs="Aharoni"/>
          <w:sz w:val="36"/>
          <w:szCs w:val="36"/>
          <w:lang w:val="en-US"/>
        </w:rPr>
        <w:t> 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bütçeli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olup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Sanayi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Teknoloji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proofErr w:type="gramStart"/>
      <w:r w:rsidRPr="00430978">
        <w:rPr>
          <w:rFonts w:ascii="Cambria Math" w:hAnsi="Cambria Math" w:cs="Aharoni"/>
          <w:sz w:val="36"/>
          <w:szCs w:val="36"/>
          <w:lang w:val="en-US"/>
        </w:rPr>
        <w:t>Bakanlığı’na</w:t>
      </w:r>
      <w:proofErr w:type="spellEnd"/>
      <w:proofErr w:type="gram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bağlı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Doğu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Akdeniz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Kalkınma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Ajansı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tarafından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finanse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edilmiş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, 29.08.2019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tarihinde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başlamış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30.09.2020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tarihinde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sona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ermiştir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>. </w:t>
      </w:r>
    </w:p>
    <w:p w:rsidR="00430978" w:rsidRPr="00430978" w:rsidRDefault="00430978" w:rsidP="00430978">
      <w:pPr>
        <w:jc w:val="both"/>
        <w:rPr>
          <w:rFonts w:ascii="Cambria Math" w:hAnsi="Cambria Math" w:cs="Aharoni"/>
          <w:sz w:val="36"/>
          <w:szCs w:val="36"/>
          <w:lang w:val="en-US"/>
        </w:rPr>
      </w:pPr>
      <w:r w:rsidRPr="00430978">
        <w:rPr>
          <w:rFonts w:ascii="Cambria Math" w:hAnsi="Cambria Math" w:cs="Aharoni"/>
          <w:sz w:val="36"/>
          <w:szCs w:val="36"/>
          <w:lang w:val="en-US"/>
        </w:rPr>
        <w:t> 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İçinden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geçmekte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olduğumuz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Endüstri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4.0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süreçlerinde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>,</w:t>
      </w:r>
      <w:proofErr w:type="gramStart"/>
      <w:r w:rsidRPr="00430978">
        <w:rPr>
          <w:rFonts w:ascii="Cambria Math" w:hAnsi="Cambria Math" w:cs="Aharoni"/>
          <w:sz w:val="36"/>
          <w:szCs w:val="36"/>
          <w:lang w:val="en-US"/>
        </w:rPr>
        <w:t>  her</w:t>
      </w:r>
      <w:proofErr w:type="gram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ülke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katma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değerli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ürün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oluşturma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yönünde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kendi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payını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artırma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çabası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içerisindedir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. </w:t>
      </w:r>
      <w:proofErr w:type="spellStart"/>
      <w:proofErr w:type="gramStart"/>
      <w:r w:rsidRPr="00430978">
        <w:rPr>
          <w:rFonts w:ascii="Cambria Math" w:hAnsi="Cambria Math" w:cs="Aharoni"/>
          <w:sz w:val="36"/>
          <w:szCs w:val="36"/>
          <w:lang w:val="en-US"/>
        </w:rPr>
        <w:t>Gelişmiş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ülkeler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ile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rekabetin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temel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unsurlarından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bir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tanesi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de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hiç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şüphesiz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dijitalleşme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sürecine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olan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adaptasyondur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>.</w:t>
      </w:r>
      <w:proofErr w:type="gram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gramStart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Bu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adaptasyonun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sağlanması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,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ülke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olarak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kurumsal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bir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kimlik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ile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mesleki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teknik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eğitim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veren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kurumlar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ile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gerçekleştirilebilecektir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>.</w:t>
      </w:r>
      <w:proofErr w:type="gram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Zira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mesleki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teknik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eğitimin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sacayaklarından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bir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tanesi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olan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meslek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lastRenderedPageBreak/>
        <w:t>yüksekokulları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,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ülkemizin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endüstriye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yönelik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ihtiyaç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duyulan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tekniker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ya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da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diğer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bir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deyişle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proofErr w:type="gramStart"/>
      <w:r w:rsidRPr="00430978">
        <w:rPr>
          <w:rFonts w:ascii="Cambria Math" w:hAnsi="Cambria Math" w:cs="Aharoni"/>
          <w:sz w:val="36"/>
          <w:szCs w:val="36"/>
          <w:lang w:val="en-US"/>
        </w:rPr>
        <w:t>ara</w:t>
      </w:r>
      <w:proofErr w:type="spellEnd"/>
      <w:proofErr w:type="gram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eleman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gücünü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yetiştirmeyi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hedeflemiş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üniversite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birimleridir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. </w:t>
      </w:r>
      <w:proofErr w:type="gramStart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Bu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sebeple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meslek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yüksekokulları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,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güncel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eğitim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teknolojileri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ile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donatılmış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atölye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laboratuvarlara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sahip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olmalıdırlar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>.</w:t>
      </w:r>
      <w:proofErr w:type="gramEnd"/>
    </w:p>
    <w:p w:rsidR="00430978" w:rsidRPr="00430978" w:rsidRDefault="00430978" w:rsidP="00430978">
      <w:pPr>
        <w:jc w:val="both"/>
        <w:rPr>
          <w:rFonts w:ascii="Cambria Math" w:hAnsi="Cambria Math" w:cs="Aharoni"/>
          <w:sz w:val="36"/>
          <w:szCs w:val="36"/>
          <w:lang w:val="en-US"/>
        </w:rPr>
      </w:pP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Belirtilen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hedefler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> 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doğrultusunda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İSTE İskenderun MYO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Makine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Programı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atölye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laboratuvarlarına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aşağıda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belirtilen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makina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ve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</w:t>
      </w:r>
      <w:proofErr w:type="spellStart"/>
      <w:proofErr w:type="gramStart"/>
      <w:r w:rsidRPr="00430978">
        <w:rPr>
          <w:rFonts w:ascii="Cambria Math" w:hAnsi="Cambria Math" w:cs="Aharoni"/>
          <w:sz w:val="36"/>
          <w:szCs w:val="36"/>
          <w:lang w:val="en-US"/>
        </w:rPr>
        <w:t>eğitim</w:t>
      </w:r>
      <w:proofErr w:type="spell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 </w:t>
      </w:r>
      <w:proofErr w:type="spellStart"/>
      <w:r w:rsidRPr="00430978">
        <w:rPr>
          <w:rFonts w:ascii="Cambria Math" w:hAnsi="Cambria Math" w:cs="Aharoni"/>
          <w:sz w:val="36"/>
          <w:szCs w:val="36"/>
          <w:lang w:val="en-US"/>
        </w:rPr>
        <w:t>setleri</w:t>
      </w:r>
      <w:proofErr w:type="spellEnd"/>
      <w:proofErr w:type="gramEnd"/>
      <w:r w:rsidRPr="00430978">
        <w:rPr>
          <w:rFonts w:ascii="Cambria Math" w:hAnsi="Cambria Math" w:cs="Aharoni"/>
          <w:sz w:val="36"/>
          <w:szCs w:val="36"/>
          <w:lang w:val="en-US"/>
        </w:rPr>
        <w:t xml:space="preserve">  </w:t>
      </w:r>
      <w:proofErr w:type="spellStart"/>
      <w:r>
        <w:rPr>
          <w:rFonts w:ascii="Cambria Math" w:hAnsi="Cambria Math" w:cs="Aharoni"/>
          <w:sz w:val="36"/>
          <w:szCs w:val="36"/>
          <w:lang w:val="en-US"/>
        </w:rPr>
        <w:t>kazandırılmıştır</w:t>
      </w:r>
      <w:proofErr w:type="spellEnd"/>
      <w:r>
        <w:rPr>
          <w:rFonts w:ascii="Cambria Math" w:hAnsi="Cambria Math" w:cs="Aharoni"/>
          <w:sz w:val="36"/>
          <w:szCs w:val="36"/>
          <w:lang w:val="en-US"/>
        </w:rPr>
        <w:t>.</w:t>
      </w:r>
    </w:p>
    <w:tbl>
      <w:tblPr>
        <w:tblW w:w="1073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6875"/>
        <w:gridCol w:w="1159"/>
        <w:gridCol w:w="1517"/>
      </w:tblGrid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C000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Sıra</w:t>
            </w:r>
            <w:proofErr w:type="spellEnd"/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 xml:space="preserve"> No</w:t>
            </w:r>
          </w:p>
        </w:tc>
        <w:tc>
          <w:tcPr>
            <w:tcW w:w="6905" w:type="dxa"/>
            <w:shd w:val="clear" w:color="auto" w:fill="FFC000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Adı</w:t>
            </w:r>
            <w:proofErr w:type="spellEnd"/>
          </w:p>
        </w:tc>
        <w:tc>
          <w:tcPr>
            <w:tcW w:w="1121" w:type="dxa"/>
            <w:shd w:val="clear" w:color="auto" w:fill="FFC000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Miktarı</w:t>
            </w:r>
            <w:proofErr w:type="spellEnd"/>
          </w:p>
        </w:tc>
        <w:tc>
          <w:tcPr>
            <w:tcW w:w="1521" w:type="dxa"/>
            <w:shd w:val="clear" w:color="auto" w:fill="FFC000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Ölçü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Birimi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1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CNC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Torna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2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CNC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Freze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3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CNC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Lazer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Kesme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4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TIG/WIG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Gazaltı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Kaynak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Makinası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5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MIG/MAG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Gazaltı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Kaynak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Makinası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3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6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Plazma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Kaynak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/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Kesme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Makinası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7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Hidrolik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ve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Elektrohidrolik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Eğitim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Seti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8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Pnömatik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ve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Elektropnömatik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Eğitim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Seti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9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SLA Tipi 3B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Yazıcı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10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FDM Tipi 3B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Yazıcı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11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3B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Tarayıcı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lastRenderedPageBreak/>
              <w:t>12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ÇantaTipi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Elektrik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Ark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Kaynağı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3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  <w:tr w:rsidR="00430978" w:rsidRPr="00430978" w:rsidTr="00430978">
        <w:trPr>
          <w:trHeight w:val="372"/>
        </w:trPr>
        <w:tc>
          <w:tcPr>
            <w:tcW w:w="1192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b/>
                <w:bCs/>
                <w:sz w:val="36"/>
                <w:szCs w:val="36"/>
                <w:lang w:val="en-US"/>
              </w:rPr>
              <w:t>13</w:t>
            </w:r>
          </w:p>
        </w:tc>
        <w:tc>
          <w:tcPr>
            <w:tcW w:w="6905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Solarmatik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Kaynak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Kaskı</w:t>
            </w:r>
            <w:proofErr w:type="spellEnd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/</w:t>
            </w: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Maskesi</w:t>
            </w:r>
            <w:proofErr w:type="spellEnd"/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9</w:t>
            </w:r>
          </w:p>
        </w:tc>
        <w:tc>
          <w:tcPr>
            <w:tcW w:w="1521" w:type="dxa"/>
            <w:shd w:val="clear" w:color="auto" w:fill="FFFFFF"/>
            <w:vAlign w:val="center"/>
            <w:hideMark/>
          </w:tcPr>
          <w:p w:rsidR="00430978" w:rsidRPr="00430978" w:rsidRDefault="00430978" w:rsidP="00430978">
            <w:pPr>
              <w:rPr>
                <w:rFonts w:ascii="Cambria Math" w:hAnsi="Cambria Math" w:cs="Aharoni"/>
                <w:sz w:val="36"/>
                <w:szCs w:val="36"/>
                <w:lang w:val="en-US"/>
              </w:rPr>
            </w:pPr>
            <w:proofErr w:type="spellStart"/>
            <w:r w:rsidRPr="00430978">
              <w:rPr>
                <w:rFonts w:ascii="Cambria Math" w:hAnsi="Cambria Math" w:cs="Aharoni"/>
                <w:sz w:val="36"/>
                <w:szCs w:val="36"/>
                <w:lang w:val="en-US"/>
              </w:rPr>
              <w:t>Adet</w:t>
            </w:r>
            <w:proofErr w:type="spellEnd"/>
          </w:p>
        </w:tc>
      </w:tr>
    </w:tbl>
    <w:p w:rsidR="00B320F3" w:rsidRPr="00430978" w:rsidRDefault="00B320F3">
      <w:pPr>
        <w:rPr>
          <w:rFonts w:ascii="Cambria Math" w:hAnsi="Cambria Math" w:cs="Aharoni"/>
          <w:sz w:val="36"/>
          <w:szCs w:val="36"/>
        </w:rPr>
      </w:pPr>
    </w:p>
    <w:sectPr w:rsidR="00B320F3" w:rsidRPr="0043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78"/>
    <w:rsid w:val="00430978"/>
    <w:rsid w:val="00B320F3"/>
    <w:rsid w:val="00DE6FB2"/>
    <w:rsid w:val="00E6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win7Pro_64Bt</dc:creator>
  <cp:lastModifiedBy>win7Pro_64Bt</cp:lastModifiedBy>
  <cp:revision>1</cp:revision>
  <dcterms:created xsi:type="dcterms:W3CDTF">2021-06-01T19:52:00Z</dcterms:created>
  <dcterms:modified xsi:type="dcterms:W3CDTF">2021-06-01T20:01:00Z</dcterms:modified>
</cp:coreProperties>
</file>