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C341E" w14:textId="77777777" w:rsidR="009A65D7" w:rsidRPr="007C1C31" w:rsidRDefault="009A65D7" w:rsidP="009A65D7">
      <w:pPr>
        <w:tabs>
          <w:tab w:val="left" w:pos="900"/>
        </w:tabs>
        <w:spacing w:before="60" w:after="60" w:line="276" w:lineRule="auto"/>
        <w:ind w:right="113"/>
        <w:jc w:val="both"/>
        <w:rPr>
          <w:sz w:val="22"/>
          <w:szCs w:val="22"/>
        </w:rPr>
      </w:pPr>
      <w:bookmarkStart w:id="0" w:name="_GoBack"/>
      <w:bookmarkEnd w:id="0"/>
    </w:p>
    <w:tbl>
      <w:tblPr>
        <w:tblW w:w="981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23"/>
        <w:gridCol w:w="6687"/>
      </w:tblGrid>
      <w:tr w:rsidR="00133899" w:rsidRPr="007C1C31" w14:paraId="4BDA7151" w14:textId="77777777" w:rsidTr="00133899">
        <w:tc>
          <w:tcPr>
            <w:tcW w:w="3123" w:type="dxa"/>
            <w:shd w:val="clear" w:color="auto" w:fill="auto"/>
          </w:tcPr>
          <w:p w14:paraId="69580A4F" w14:textId="3DEA75D2" w:rsidR="00133899" w:rsidRPr="007C1C31" w:rsidRDefault="00133899" w:rsidP="00133899">
            <w:pPr>
              <w:rPr>
                <w:b/>
                <w:iCs/>
                <w:color w:val="000000"/>
                <w:sz w:val="22"/>
                <w:szCs w:val="22"/>
              </w:rPr>
            </w:pPr>
            <w:r w:rsidRPr="007C1C31">
              <w:rPr>
                <w:b/>
                <w:iCs/>
                <w:color w:val="000000"/>
                <w:sz w:val="22"/>
                <w:szCs w:val="22"/>
              </w:rPr>
              <w:t>Birim</w:t>
            </w:r>
            <w:r>
              <w:rPr>
                <w:b/>
                <w:iCs/>
                <w:color w:val="000000"/>
                <w:sz w:val="22"/>
                <w:szCs w:val="22"/>
              </w:rPr>
              <w:t>i</w:t>
            </w:r>
          </w:p>
        </w:tc>
        <w:tc>
          <w:tcPr>
            <w:tcW w:w="6687" w:type="dxa"/>
            <w:vAlign w:val="center"/>
          </w:tcPr>
          <w:p w14:paraId="2B649037" w14:textId="77777777" w:rsidR="00133899" w:rsidRPr="00133899" w:rsidRDefault="00133899" w:rsidP="00133899">
            <w:pPr>
              <w:pStyle w:val="TableParagraph"/>
              <w:spacing w:line="231" w:lineRule="exact"/>
              <w:ind w:left="0"/>
            </w:pPr>
            <w:r w:rsidRPr="00133899">
              <w:t xml:space="preserve">Sürekli Eğitim Uygulama ve Araştırma Merkezi Müdürlüğü </w:t>
            </w:r>
          </w:p>
          <w:p w14:paraId="0EE95258" w14:textId="4BFD4A86" w:rsidR="00133899" w:rsidRPr="00133899" w:rsidRDefault="00133899" w:rsidP="00133899">
            <w:pPr>
              <w:rPr>
                <w:sz w:val="22"/>
                <w:szCs w:val="22"/>
              </w:rPr>
            </w:pPr>
            <w:r w:rsidRPr="00133899">
              <w:rPr>
                <w:sz w:val="22"/>
                <w:szCs w:val="22"/>
              </w:rPr>
              <w:t>(İSTE-MESEM)</w:t>
            </w:r>
          </w:p>
        </w:tc>
      </w:tr>
      <w:tr w:rsidR="00133899" w:rsidRPr="007C1C31" w14:paraId="082970DC" w14:textId="77777777" w:rsidTr="00133899">
        <w:tc>
          <w:tcPr>
            <w:tcW w:w="3123" w:type="dxa"/>
            <w:shd w:val="clear" w:color="auto" w:fill="auto"/>
          </w:tcPr>
          <w:p w14:paraId="163A071F" w14:textId="60D220D0" w:rsidR="00133899" w:rsidRPr="007C1C31" w:rsidRDefault="00133899" w:rsidP="00133899">
            <w:pPr>
              <w:rPr>
                <w:b/>
                <w:iCs/>
                <w:color w:val="000000"/>
                <w:sz w:val="22"/>
                <w:szCs w:val="22"/>
              </w:rPr>
            </w:pPr>
            <w:r w:rsidRPr="007C1C31">
              <w:rPr>
                <w:b/>
                <w:iCs/>
                <w:color w:val="000000"/>
                <w:sz w:val="22"/>
                <w:szCs w:val="22"/>
              </w:rPr>
              <w:t xml:space="preserve">Alt Birim </w:t>
            </w:r>
          </w:p>
        </w:tc>
        <w:tc>
          <w:tcPr>
            <w:tcW w:w="6687" w:type="dxa"/>
            <w:vAlign w:val="center"/>
          </w:tcPr>
          <w:p w14:paraId="7287E257" w14:textId="4DA5BE1D" w:rsidR="00133899" w:rsidRPr="00133899" w:rsidRDefault="00133899" w:rsidP="00133899">
            <w:pPr>
              <w:rPr>
                <w:sz w:val="22"/>
                <w:szCs w:val="22"/>
              </w:rPr>
            </w:pPr>
            <w:r w:rsidRPr="00133899">
              <w:rPr>
                <w:sz w:val="22"/>
                <w:szCs w:val="22"/>
              </w:rPr>
              <w:t>-</w:t>
            </w:r>
          </w:p>
        </w:tc>
      </w:tr>
      <w:tr w:rsidR="00CB0F1D" w:rsidRPr="007C1C31" w14:paraId="447BBEF8" w14:textId="77777777" w:rsidTr="00133899">
        <w:tc>
          <w:tcPr>
            <w:tcW w:w="3123" w:type="dxa"/>
            <w:shd w:val="clear" w:color="auto" w:fill="auto"/>
          </w:tcPr>
          <w:p w14:paraId="59DD1BDE" w14:textId="01764D61" w:rsidR="00CB0F1D" w:rsidRPr="007C1C31" w:rsidRDefault="00CB0F1D" w:rsidP="00CB0F1D">
            <w:pPr>
              <w:rPr>
                <w:b/>
                <w:iCs/>
                <w:color w:val="000000"/>
                <w:sz w:val="22"/>
                <w:szCs w:val="22"/>
              </w:rPr>
            </w:pPr>
            <w:r>
              <w:rPr>
                <w:b/>
                <w:sz w:val="22"/>
                <w:szCs w:val="22"/>
              </w:rPr>
              <w:t xml:space="preserve">Görev </w:t>
            </w:r>
            <w:proofErr w:type="spellStart"/>
            <w:r w:rsidR="00714FF9">
              <w:rPr>
                <w:b/>
                <w:sz w:val="22"/>
                <w:szCs w:val="22"/>
              </w:rPr>
              <w:t>Ü</w:t>
            </w:r>
            <w:r>
              <w:rPr>
                <w:b/>
                <w:sz w:val="22"/>
                <w:szCs w:val="22"/>
              </w:rPr>
              <w:t>nvanı</w:t>
            </w:r>
            <w:proofErr w:type="spellEnd"/>
          </w:p>
        </w:tc>
        <w:tc>
          <w:tcPr>
            <w:tcW w:w="6687" w:type="dxa"/>
            <w:vAlign w:val="center"/>
          </w:tcPr>
          <w:p w14:paraId="1282F19D" w14:textId="12A4871B" w:rsidR="00CB0F1D" w:rsidRPr="00133899" w:rsidRDefault="00CB0F1D" w:rsidP="00CB0F1D">
            <w:pPr>
              <w:rPr>
                <w:sz w:val="22"/>
                <w:szCs w:val="22"/>
              </w:rPr>
            </w:pPr>
            <w:r w:rsidRPr="00133899">
              <w:rPr>
                <w:sz w:val="22"/>
                <w:szCs w:val="22"/>
              </w:rPr>
              <w:t>Yönetim Kurulu Üyesi</w:t>
            </w:r>
          </w:p>
        </w:tc>
      </w:tr>
      <w:tr w:rsidR="00133899" w:rsidRPr="007C1C31" w14:paraId="6E126BE2" w14:textId="77777777" w:rsidTr="00133899">
        <w:tc>
          <w:tcPr>
            <w:tcW w:w="3123" w:type="dxa"/>
            <w:shd w:val="clear" w:color="auto" w:fill="auto"/>
          </w:tcPr>
          <w:p w14:paraId="38DB666A" w14:textId="06C39C21" w:rsidR="00133899" w:rsidRPr="007C1C31" w:rsidRDefault="00CB0F1D" w:rsidP="00133899">
            <w:pPr>
              <w:rPr>
                <w:b/>
                <w:iCs/>
                <w:color w:val="000000"/>
                <w:sz w:val="22"/>
                <w:szCs w:val="22"/>
              </w:rPr>
            </w:pPr>
            <w:r>
              <w:rPr>
                <w:rFonts w:ascii="TimesNewRomanPS-BoldMT" w:eastAsiaTheme="minorHAnsi" w:hAnsi="TimesNewRomanPS-BoldMT" w:cs="TimesNewRomanPS-BoldMT"/>
                <w:b/>
                <w:bCs/>
                <w:sz w:val="22"/>
                <w:szCs w:val="22"/>
                <w:lang w:eastAsia="en-US"/>
              </w:rPr>
              <w:t xml:space="preserve">Görevin Bağlı Olduğu </w:t>
            </w:r>
            <w:proofErr w:type="spellStart"/>
            <w:r w:rsidR="00714FF9">
              <w:rPr>
                <w:rFonts w:ascii="TimesNewRomanPS-BoldMT" w:eastAsiaTheme="minorHAnsi" w:hAnsi="TimesNewRomanPS-BoldMT" w:cs="TimesNewRomanPS-BoldMT"/>
                <w:b/>
                <w:bCs/>
                <w:sz w:val="22"/>
                <w:szCs w:val="22"/>
                <w:lang w:eastAsia="en-US"/>
              </w:rPr>
              <w:t>Ü</w:t>
            </w:r>
            <w:r>
              <w:rPr>
                <w:rFonts w:ascii="TimesNewRomanPS-BoldMT" w:eastAsiaTheme="minorHAnsi" w:hAnsi="TimesNewRomanPS-BoldMT" w:cs="TimesNewRomanPS-BoldMT"/>
                <w:b/>
                <w:bCs/>
                <w:sz w:val="22"/>
                <w:szCs w:val="22"/>
                <w:lang w:eastAsia="en-US"/>
              </w:rPr>
              <w:t>nvan</w:t>
            </w:r>
            <w:proofErr w:type="spellEnd"/>
          </w:p>
        </w:tc>
        <w:tc>
          <w:tcPr>
            <w:tcW w:w="6687" w:type="dxa"/>
            <w:vAlign w:val="center"/>
          </w:tcPr>
          <w:p w14:paraId="295FBD8A" w14:textId="55D3535B" w:rsidR="00133899" w:rsidRPr="00133899" w:rsidRDefault="00133899" w:rsidP="00133899">
            <w:pPr>
              <w:rPr>
                <w:sz w:val="22"/>
                <w:szCs w:val="22"/>
              </w:rPr>
            </w:pPr>
            <w:r w:rsidRPr="00133899">
              <w:rPr>
                <w:sz w:val="22"/>
                <w:szCs w:val="22"/>
              </w:rPr>
              <w:t>Müdür/Yönetim Kurulu Başkanı</w:t>
            </w:r>
          </w:p>
        </w:tc>
      </w:tr>
      <w:tr w:rsidR="00133899" w:rsidRPr="007C1C31" w14:paraId="2F9DC58E" w14:textId="77777777" w:rsidTr="00133899">
        <w:tc>
          <w:tcPr>
            <w:tcW w:w="3123" w:type="dxa"/>
            <w:shd w:val="clear" w:color="auto" w:fill="auto"/>
          </w:tcPr>
          <w:p w14:paraId="53C1C266" w14:textId="1BDD2EC0" w:rsidR="00133899" w:rsidRPr="007C1C31" w:rsidRDefault="00E13CAE" w:rsidP="00133899">
            <w:pPr>
              <w:rPr>
                <w:b/>
                <w:sz w:val="22"/>
                <w:szCs w:val="22"/>
              </w:rPr>
            </w:pPr>
            <w:r>
              <w:rPr>
                <w:b/>
                <w:sz w:val="22"/>
                <w:szCs w:val="22"/>
              </w:rPr>
              <w:t>Sınıfı</w:t>
            </w:r>
          </w:p>
        </w:tc>
        <w:tc>
          <w:tcPr>
            <w:tcW w:w="6687" w:type="dxa"/>
            <w:vAlign w:val="center"/>
          </w:tcPr>
          <w:p w14:paraId="1C66C5EB" w14:textId="6A7B4E67" w:rsidR="00133899" w:rsidRPr="00133899" w:rsidRDefault="00133899" w:rsidP="00133899">
            <w:pPr>
              <w:rPr>
                <w:sz w:val="22"/>
                <w:szCs w:val="22"/>
              </w:rPr>
            </w:pPr>
            <w:r w:rsidRPr="00133899">
              <w:rPr>
                <w:sz w:val="22"/>
                <w:szCs w:val="22"/>
              </w:rPr>
              <w:t>Öğretim Elemanı</w:t>
            </w:r>
          </w:p>
        </w:tc>
      </w:tr>
      <w:tr w:rsidR="00133899" w:rsidRPr="007C1C31" w14:paraId="698C1B38" w14:textId="77777777" w:rsidTr="00133899">
        <w:tc>
          <w:tcPr>
            <w:tcW w:w="3123" w:type="dxa"/>
            <w:shd w:val="clear" w:color="auto" w:fill="auto"/>
          </w:tcPr>
          <w:p w14:paraId="52B095CD" w14:textId="2DCCA823" w:rsidR="00133899" w:rsidRPr="007C1C31" w:rsidRDefault="00CB0F1D" w:rsidP="00133899">
            <w:pPr>
              <w:rPr>
                <w:b/>
                <w:sz w:val="22"/>
                <w:szCs w:val="22"/>
              </w:rPr>
            </w:pPr>
            <w:r>
              <w:rPr>
                <w:rFonts w:ascii="TimesNewRomanPS-BoldMT" w:eastAsiaTheme="minorHAnsi" w:hAnsi="TimesNewRomanPS-BoldMT" w:cs="TimesNewRomanPS-BoldMT"/>
                <w:b/>
                <w:bCs/>
                <w:sz w:val="22"/>
                <w:szCs w:val="22"/>
                <w:lang w:eastAsia="en-US"/>
              </w:rPr>
              <w:t xml:space="preserve">Astlar (Altındaki Bağlı Görev </w:t>
            </w:r>
            <w:proofErr w:type="spellStart"/>
            <w:r w:rsidR="00714FF9">
              <w:rPr>
                <w:rFonts w:ascii="TimesNewRomanPS-BoldMT" w:eastAsiaTheme="minorHAnsi" w:hAnsi="TimesNewRomanPS-BoldMT" w:cs="TimesNewRomanPS-BoldMT"/>
                <w:b/>
                <w:bCs/>
                <w:sz w:val="22"/>
                <w:szCs w:val="22"/>
                <w:lang w:eastAsia="en-US"/>
              </w:rPr>
              <w:t>Ü</w:t>
            </w:r>
            <w:r>
              <w:rPr>
                <w:rFonts w:ascii="TimesNewRomanPS-BoldMT" w:eastAsiaTheme="minorHAnsi" w:hAnsi="TimesNewRomanPS-BoldMT" w:cs="TimesNewRomanPS-BoldMT"/>
                <w:b/>
                <w:bCs/>
                <w:sz w:val="22"/>
                <w:szCs w:val="22"/>
                <w:lang w:eastAsia="en-US"/>
              </w:rPr>
              <w:t>nvanları</w:t>
            </w:r>
            <w:proofErr w:type="spellEnd"/>
            <w:r>
              <w:rPr>
                <w:rFonts w:ascii="TimesNewRomanPS-BoldMT" w:eastAsiaTheme="minorHAnsi" w:hAnsi="TimesNewRomanPS-BoldMT" w:cs="TimesNewRomanPS-BoldMT"/>
                <w:b/>
                <w:bCs/>
                <w:sz w:val="22"/>
                <w:szCs w:val="22"/>
                <w:lang w:eastAsia="en-US"/>
              </w:rPr>
              <w:t>)</w:t>
            </w:r>
          </w:p>
        </w:tc>
        <w:tc>
          <w:tcPr>
            <w:tcW w:w="6687" w:type="dxa"/>
            <w:vAlign w:val="center"/>
          </w:tcPr>
          <w:p w14:paraId="41E2C971" w14:textId="5FFC653E" w:rsidR="00133899" w:rsidRPr="00133899" w:rsidRDefault="00133899" w:rsidP="00133899">
            <w:pPr>
              <w:rPr>
                <w:sz w:val="22"/>
                <w:szCs w:val="22"/>
              </w:rPr>
            </w:pPr>
          </w:p>
        </w:tc>
      </w:tr>
      <w:tr w:rsidR="00133899" w:rsidRPr="007C1C31" w14:paraId="65FD0C34" w14:textId="77777777" w:rsidTr="00133899">
        <w:tc>
          <w:tcPr>
            <w:tcW w:w="3123" w:type="dxa"/>
            <w:shd w:val="clear" w:color="auto" w:fill="auto"/>
          </w:tcPr>
          <w:p w14:paraId="35B749E3" w14:textId="717C5834" w:rsidR="00133899" w:rsidRPr="007C1C31" w:rsidRDefault="001023FA" w:rsidP="00133899">
            <w:pPr>
              <w:rPr>
                <w:b/>
                <w:sz w:val="22"/>
                <w:szCs w:val="22"/>
              </w:rPr>
            </w:pPr>
            <w:r>
              <w:rPr>
                <w:b/>
                <w:sz w:val="22"/>
                <w:szCs w:val="22"/>
              </w:rPr>
              <w:t>Vekalet/</w:t>
            </w:r>
            <w:r w:rsidR="00133899" w:rsidRPr="007C1C31">
              <w:rPr>
                <w:b/>
                <w:sz w:val="22"/>
                <w:szCs w:val="22"/>
              </w:rPr>
              <w:t>Görev Devri</w:t>
            </w:r>
          </w:p>
        </w:tc>
        <w:tc>
          <w:tcPr>
            <w:tcW w:w="6687" w:type="dxa"/>
            <w:vAlign w:val="center"/>
          </w:tcPr>
          <w:p w14:paraId="6F75AF98" w14:textId="7B534BB4" w:rsidR="00133899" w:rsidRPr="00133899" w:rsidRDefault="00133899" w:rsidP="00133899">
            <w:pPr>
              <w:rPr>
                <w:sz w:val="22"/>
                <w:szCs w:val="22"/>
              </w:rPr>
            </w:pPr>
            <w:r w:rsidRPr="00133899">
              <w:rPr>
                <w:sz w:val="22"/>
                <w:szCs w:val="22"/>
              </w:rPr>
              <w:t>-</w:t>
            </w:r>
          </w:p>
        </w:tc>
      </w:tr>
    </w:tbl>
    <w:p w14:paraId="37CA0E4B" w14:textId="77777777" w:rsidR="009A65D7" w:rsidRPr="007C1C31" w:rsidRDefault="009A65D7" w:rsidP="009A65D7">
      <w:pPr>
        <w:rPr>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798"/>
      </w:tblGrid>
      <w:tr w:rsidR="009A65D7" w:rsidRPr="007C1C31" w14:paraId="1F226A3B" w14:textId="77777777" w:rsidTr="009A65D7">
        <w:tc>
          <w:tcPr>
            <w:tcW w:w="3012" w:type="dxa"/>
            <w:shd w:val="clear" w:color="auto" w:fill="auto"/>
          </w:tcPr>
          <w:p w14:paraId="5D932032" w14:textId="77777777" w:rsidR="009A65D7" w:rsidRPr="007C1C31" w:rsidRDefault="009A65D7" w:rsidP="003D3782">
            <w:pPr>
              <w:keepNext/>
              <w:spacing w:before="60" w:after="60"/>
              <w:jc w:val="both"/>
              <w:outlineLvl w:val="1"/>
              <w:rPr>
                <w:b/>
                <w:bCs/>
                <w:iCs/>
                <w:color w:val="000000"/>
                <w:sz w:val="22"/>
                <w:szCs w:val="22"/>
              </w:rPr>
            </w:pPr>
            <w:r w:rsidRPr="007C1C31">
              <w:rPr>
                <w:b/>
                <w:bCs/>
                <w:iCs/>
                <w:color w:val="000000"/>
                <w:sz w:val="22"/>
                <w:szCs w:val="22"/>
              </w:rPr>
              <w:t>Görevin Kısa Tanımı</w:t>
            </w:r>
          </w:p>
        </w:tc>
        <w:tc>
          <w:tcPr>
            <w:tcW w:w="6798" w:type="dxa"/>
            <w:shd w:val="clear" w:color="auto" w:fill="auto"/>
          </w:tcPr>
          <w:p w14:paraId="70C70BF3" w14:textId="5562D537" w:rsidR="009A65D7" w:rsidRPr="007819D8" w:rsidRDefault="00FB5EC4" w:rsidP="007819D8">
            <w:pPr>
              <w:ind w:right="96"/>
              <w:jc w:val="both"/>
            </w:pPr>
            <w:r w:rsidRPr="00FB5EC4">
              <w:rPr>
                <w:sz w:val="22"/>
                <w:szCs w:val="22"/>
              </w:rPr>
              <w:t>İskenderun Teknik Üniversitesi üst yönetimi tarafından belirlenen amaç ve ilkelere uygun olarak; birimin tüm faaliyetleri ile ilgili, etkenlik ve verimlilik ilkelerine uygun olarak yürütülmesi amacıyla çalışmalar yapmak.</w:t>
            </w:r>
          </w:p>
        </w:tc>
      </w:tr>
    </w:tbl>
    <w:p w14:paraId="06522424" w14:textId="77777777" w:rsidR="009A65D7" w:rsidRPr="007C1C31" w:rsidRDefault="009A65D7" w:rsidP="009A65D7">
      <w:pPr>
        <w:spacing w:before="100" w:after="100"/>
        <w:jc w:val="both"/>
        <w:rPr>
          <w:b/>
          <w:bCs/>
          <w:sz w:val="22"/>
          <w:szCs w:val="22"/>
        </w:rPr>
      </w:pPr>
      <w:r w:rsidRPr="007C1C31">
        <w:rPr>
          <w:b/>
          <w:sz w:val="22"/>
          <w:szCs w:val="22"/>
        </w:rPr>
        <w:t xml:space="preserve">GÖREV, YETKİ VE SORUMLULUKLARI: </w:t>
      </w:r>
    </w:p>
    <w:tbl>
      <w:tblPr>
        <w:tblW w:w="9848"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848"/>
      </w:tblGrid>
      <w:tr w:rsidR="009A65D7" w:rsidRPr="007C1C31" w14:paraId="49FAB3D7" w14:textId="77777777" w:rsidTr="009A65D7">
        <w:trPr>
          <w:trHeight w:val="1907"/>
        </w:trPr>
        <w:tc>
          <w:tcPr>
            <w:tcW w:w="9848" w:type="dxa"/>
          </w:tcPr>
          <w:p w14:paraId="14B76107" w14:textId="77777777" w:rsidR="009A65D7" w:rsidRDefault="007F4EEB" w:rsidP="007F4EEB">
            <w:pPr>
              <w:pStyle w:val="GvdeMetni"/>
              <w:spacing w:before="39" w:line="276" w:lineRule="auto"/>
              <w:ind w:left="0" w:right="238" w:firstLine="709"/>
              <w:jc w:val="both"/>
              <w:rPr>
                <w:bCs/>
              </w:rPr>
            </w:pPr>
            <w:r w:rsidRPr="007F4EEB">
              <w:rPr>
                <w:bCs/>
              </w:rPr>
              <w:t>Yönetim Kurulu; Müdür, Müdür Yardımcısı ve Üniversite öğretim elemanları arasından Rektör tarafından görevlendirilen beş öğretim elemanı ile birlikte yedi (7) kişiden oluşur. Yönetim Kuruluna Müdür başkanlık eder. Yönetim Kurulu, Müdür tarafından hazırlanan gündem maddelerini görüşerek karar alır. Yönetim Kurulu salt çoğunlukla toplanır ve kararlar oy çokluğuyla alınır.</w:t>
            </w:r>
          </w:p>
          <w:p w14:paraId="6C3285AF" w14:textId="7E248C59" w:rsidR="007F4EEB" w:rsidRDefault="007F4EEB" w:rsidP="007F4EEB">
            <w:pPr>
              <w:pStyle w:val="GvdeMetni"/>
              <w:spacing w:before="39" w:line="276" w:lineRule="auto"/>
              <w:ind w:left="313" w:right="240"/>
              <w:jc w:val="both"/>
            </w:pPr>
            <w:r w:rsidRPr="007F4EEB">
              <w:rPr>
                <w:b/>
              </w:rPr>
              <w:t>1.</w:t>
            </w:r>
            <w:r>
              <w:rPr>
                <w:bCs/>
              </w:rPr>
              <w:t xml:space="preserve"> </w:t>
            </w:r>
            <w:r w:rsidR="00CB0F1D">
              <w:rPr>
                <w:bCs/>
              </w:rPr>
              <w:t xml:space="preserve"> </w:t>
            </w:r>
            <w:r>
              <w:t>Müdürün her faaliyet dönemi sonunda hazırlayacağı faaliyet raporunun düzenlenmesine ilişkin esasları tespit etmek, sunulan raporu değerlendirmek, bir sonraki döneme ait çalışma programını düzenlemek,</w:t>
            </w:r>
          </w:p>
          <w:p w14:paraId="310FA463" w14:textId="77777777" w:rsidR="007F4EEB" w:rsidRDefault="007F4EEB" w:rsidP="007F4EEB">
            <w:pPr>
              <w:pStyle w:val="GvdeMetni"/>
              <w:spacing w:before="39" w:line="276" w:lineRule="auto"/>
              <w:ind w:left="313" w:right="240"/>
              <w:jc w:val="both"/>
            </w:pPr>
            <w:r w:rsidRPr="007F4EEB">
              <w:rPr>
                <w:b/>
                <w:bCs/>
              </w:rPr>
              <w:t>2.</w:t>
            </w:r>
            <w:r>
              <w:t xml:space="preserve"> Eğitim programları sonunda verilecek başarı belgesi, sertifika ve benzeri belgelerin verilme koşullarını, Üniversite Senatosuna önermek,</w:t>
            </w:r>
          </w:p>
          <w:p w14:paraId="5B3D3B78" w14:textId="4E8CD0AA" w:rsidR="007F4EEB" w:rsidRDefault="007F4EEB" w:rsidP="007F4EEB">
            <w:pPr>
              <w:pStyle w:val="GvdeMetni"/>
              <w:spacing w:before="39" w:line="276" w:lineRule="auto"/>
              <w:ind w:left="313" w:right="240"/>
              <w:jc w:val="both"/>
            </w:pPr>
            <w:r w:rsidRPr="007F4EEB">
              <w:rPr>
                <w:b/>
                <w:bCs/>
              </w:rPr>
              <w:t>3.</w:t>
            </w:r>
            <w:r>
              <w:t xml:space="preserve"> Önerilen eğitim programlarının hangilerinin düzenleneceğini, düzenlenen programlarda</w:t>
            </w:r>
            <w:r w:rsidR="00CB0F1D">
              <w:t xml:space="preserve"> </w:t>
            </w:r>
            <w:r>
              <w:t>kimlerin görevlendirileceğini ve görevlendirileceklere yapılacak ödemelerin miktarını belirlemek,</w:t>
            </w:r>
          </w:p>
          <w:p w14:paraId="4AB9B29E" w14:textId="0B2DFBE1" w:rsidR="007F4EEB" w:rsidRDefault="007F4EEB" w:rsidP="007F4EEB">
            <w:pPr>
              <w:pStyle w:val="GvdeMetni"/>
              <w:spacing w:before="39" w:line="276" w:lineRule="auto"/>
              <w:ind w:left="0" w:right="240" w:firstLine="0"/>
              <w:jc w:val="both"/>
            </w:pPr>
            <w:r w:rsidRPr="007F4EEB">
              <w:rPr>
                <w:b/>
                <w:bCs/>
              </w:rPr>
              <w:t>4.</w:t>
            </w:r>
            <w:r>
              <w:t xml:space="preserve"> </w:t>
            </w:r>
            <w:r w:rsidR="00CB0F1D">
              <w:t xml:space="preserve"> </w:t>
            </w:r>
            <w:r>
              <w:t>Merkezin bütçesini hazırlamak,</w:t>
            </w:r>
          </w:p>
          <w:p w14:paraId="0AF7369B" w14:textId="5B293994" w:rsidR="007F4EEB" w:rsidRDefault="007F4EEB" w:rsidP="007F4EEB">
            <w:pPr>
              <w:pStyle w:val="GvdeMetni"/>
              <w:spacing w:before="39" w:line="276" w:lineRule="auto"/>
              <w:ind w:left="0" w:right="240" w:firstLine="0"/>
              <w:jc w:val="both"/>
            </w:pPr>
            <w:r w:rsidRPr="007F4EEB">
              <w:rPr>
                <w:b/>
                <w:bCs/>
              </w:rPr>
              <w:t>5.</w:t>
            </w:r>
            <w:r>
              <w:t xml:space="preserve"> </w:t>
            </w:r>
            <w:r w:rsidR="00CB0F1D">
              <w:t xml:space="preserve"> </w:t>
            </w:r>
            <w:r>
              <w:t>Merkezin çalışmaları için gerekli görülen çalışma grupları ve komisyonları kurmak,</w:t>
            </w:r>
          </w:p>
          <w:p w14:paraId="39C7F844" w14:textId="5792B75C" w:rsidR="007F4EEB" w:rsidRDefault="007F4EEB" w:rsidP="007F4EEB">
            <w:pPr>
              <w:pStyle w:val="GvdeMetni"/>
              <w:spacing w:before="39" w:line="276" w:lineRule="auto"/>
              <w:ind w:left="313" w:right="240"/>
              <w:jc w:val="both"/>
            </w:pPr>
            <w:r w:rsidRPr="007F4EEB">
              <w:rPr>
                <w:b/>
                <w:bCs/>
              </w:rPr>
              <w:t>6.</w:t>
            </w:r>
            <w:r>
              <w:t xml:space="preserve"> </w:t>
            </w:r>
            <w:r w:rsidR="00CB0F1D">
              <w:t xml:space="preserve"> </w:t>
            </w:r>
            <w:r>
              <w:t>Görevi ile ilgili süreçleri Üniversitemiz Kalite Politikası ve Kalite Yönetim Sistemi çerçevesinde, kalite hedefleri ve prosedürlerine uygun olarak yürütmek,</w:t>
            </w:r>
          </w:p>
          <w:p w14:paraId="1DE5FF63" w14:textId="32912109" w:rsidR="007F4EEB" w:rsidRDefault="007F4EEB" w:rsidP="007F4EEB">
            <w:pPr>
              <w:pStyle w:val="GvdeMetni"/>
              <w:spacing w:before="39" w:line="276" w:lineRule="auto"/>
              <w:ind w:left="313" w:right="240"/>
              <w:jc w:val="both"/>
            </w:pPr>
            <w:r w:rsidRPr="007F4EEB">
              <w:rPr>
                <w:b/>
                <w:bCs/>
              </w:rPr>
              <w:t>7.</w:t>
            </w:r>
            <w:r>
              <w:t xml:space="preserve"> </w:t>
            </w:r>
            <w:r w:rsidR="00CB0F1D">
              <w:t xml:space="preserve"> </w:t>
            </w:r>
            <w:r>
              <w:t>Bağlı bulunduğu yönetici veya üst yöneticilerin, görev alanı ile ilgili vereceği diğer işleri iş sağlığı ve güvenliği kurallarına uygun olarak yapmak,</w:t>
            </w:r>
          </w:p>
          <w:p w14:paraId="34A98415" w14:textId="00471470" w:rsidR="007F4EEB" w:rsidRDefault="007F4EEB" w:rsidP="007F4EEB">
            <w:pPr>
              <w:pStyle w:val="GvdeMetni"/>
              <w:spacing w:before="39" w:line="276" w:lineRule="auto"/>
              <w:ind w:left="313" w:right="240"/>
              <w:jc w:val="both"/>
            </w:pPr>
            <w:r w:rsidRPr="007F4EEB">
              <w:rPr>
                <w:b/>
                <w:bCs/>
              </w:rPr>
              <w:t>8.</w:t>
            </w:r>
            <w:r>
              <w:t xml:space="preserve"> Yönetim Kurulu Üyesi, yukarıda yazılı olan bütün bu görevleri kanunlara ve yönetmeliklere uygun olarak</w:t>
            </w:r>
            <w:r w:rsidR="00CB0F1D">
              <w:t xml:space="preserve"> </w:t>
            </w:r>
            <w:r>
              <w:t>yerine getirirken Müdüre karşı sorumludur.</w:t>
            </w:r>
          </w:p>
          <w:p w14:paraId="624429B3" w14:textId="663CF111" w:rsidR="007F4EEB" w:rsidRDefault="007F4EEB" w:rsidP="007F4EEB">
            <w:pPr>
              <w:pStyle w:val="GvdeMetni"/>
              <w:spacing w:before="39" w:line="276" w:lineRule="auto"/>
              <w:ind w:left="313" w:right="240"/>
              <w:jc w:val="both"/>
            </w:pPr>
          </w:p>
          <w:p w14:paraId="7AEC905D" w14:textId="1B83476B" w:rsidR="007F4EEB" w:rsidRDefault="007F4EEB" w:rsidP="007F4EEB">
            <w:pPr>
              <w:pStyle w:val="GvdeMetni"/>
              <w:spacing w:before="39" w:line="276" w:lineRule="auto"/>
              <w:ind w:left="313" w:right="240"/>
              <w:jc w:val="both"/>
            </w:pPr>
          </w:p>
          <w:p w14:paraId="394A774F" w14:textId="478C0A31" w:rsidR="007F4EEB" w:rsidRDefault="007F4EEB" w:rsidP="007F4EEB">
            <w:pPr>
              <w:pStyle w:val="GvdeMetni"/>
              <w:spacing w:before="39" w:line="276" w:lineRule="auto"/>
              <w:ind w:left="0" w:right="240" w:firstLine="0"/>
              <w:jc w:val="both"/>
            </w:pPr>
          </w:p>
          <w:p w14:paraId="3AE6F967" w14:textId="693F786B" w:rsidR="007F4EEB" w:rsidRPr="007819D8" w:rsidRDefault="007F4EEB" w:rsidP="007F4EEB">
            <w:pPr>
              <w:pStyle w:val="GvdeMetni"/>
              <w:spacing w:before="39" w:line="276" w:lineRule="auto"/>
              <w:ind w:left="0" w:right="240" w:firstLine="0"/>
              <w:jc w:val="both"/>
              <w:rPr>
                <w:bCs/>
              </w:rPr>
            </w:pPr>
          </w:p>
        </w:tc>
      </w:tr>
    </w:tbl>
    <w:p w14:paraId="203FCB91" w14:textId="77777777" w:rsidR="00A86D46" w:rsidRPr="00A86D46" w:rsidRDefault="00A86D46" w:rsidP="00A86D46"/>
    <w:sectPr w:rsidR="00A86D46" w:rsidRPr="00A86D4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27BA" w14:textId="77777777" w:rsidR="00215A4F" w:rsidRDefault="00215A4F" w:rsidP="0060571A">
      <w:r>
        <w:separator/>
      </w:r>
    </w:p>
  </w:endnote>
  <w:endnote w:type="continuationSeparator" w:id="0">
    <w:p w14:paraId="3D8FDD5E" w14:textId="77777777" w:rsidR="00215A4F" w:rsidRDefault="00215A4F" w:rsidP="006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4F94" w14:textId="77777777" w:rsidR="002A0A04" w:rsidRDefault="002A0A0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18" w:type="dxa"/>
      <w:tblInd w:w="-1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317"/>
      <w:gridCol w:w="3836"/>
      <w:gridCol w:w="2865"/>
    </w:tblGrid>
    <w:tr w:rsidR="0060571A" w:rsidRPr="00995BEA" w14:paraId="1D8D8A60" w14:textId="77777777" w:rsidTr="003D7B00">
      <w:trPr>
        <w:trHeight w:val="883"/>
      </w:trPr>
      <w:tc>
        <w:tcPr>
          <w:tcW w:w="3317" w:type="dxa"/>
          <w:shd w:val="clear" w:color="auto" w:fill="A6A6A6"/>
        </w:tcPr>
        <w:p w14:paraId="71FDA096" w14:textId="77777777" w:rsidR="0060571A" w:rsidRPr="00995BEA" w:rsidRDefault="0060571A" w:rsidP="0060571A">
          <w:pPr>
            <w:pStyle w:val="TableParagraph"/>
            <w:spacing w:before="1"/>
            <w:ind w:left="840" w:right="831"/>
            <w:jc w:val="center"/>
            <w:rPr>
              <w:rFonts w:eastAsia="Calibri"/>
              <w:b/>
              <w:sz w:val="16"/>
            </w:rPr>
          </w:pPr>
          <w:r w:rsidRPr="00995BEA">
            <w:rPr>
              <w:rFonts w:eastAsia="Calibri"/>
              <w:b/>
              <w:sz w:val="16"/>
            </w:rPr>
            <w:t>Hazırlayan</w:t>
          </w:r>
        </w:p>
        <w:p w14:paraId="2A0693A7" w14:textId="77777777" w:rsidR="0060571A" w:rsidRPr="00995BEA" w:rsidRDefault="0060571A" w:rsidP="0060571A">
          <w:pPr>
            <w:pStyle w:val="TableParagraph"/>
            <w:ind w:left="0"/>
            <w:rPr>
              <w:rFonts w:eastAsia="Calibri"/>
              <w:sz w:val="16"/>
            </w:rPr>
          </w:pPr>
        </w:p>
        <w:p w14:paraId="595B3C91" w14:textId="5A0DD0F1" w:rsidR="0060571A" w:rsidRPr="00995BEA" w:rsidRDefault="00A026F8" w:rsidP="003D7B00">
          <w:pPr>
            <w:pStyle w:val="TableParagraph"/>
            <w:spacing w:line="165" w:lineRule="exact"/>
            <w:ind w:right="832"/>
            <w:rPr>
              <w:rFonts w:eastAsia="Calibri"/>
              <w:b/>
              <w:sz w:val="16"/>
            </w:rPr>
          </w:pPr>
          <w:r>
            <w:rPr>
              <w:rFonts w:eastAsia="Calibri"/>
              <w:b/>
              <w:sz w:val="16"/>
            </w:rPr>
            <w:t xml:space="preserve">                 Birim Kalite Komisyonu</w:t>
          </w:r>
        </w:p>
      </w:tc>
      <w:tc>
        <w:tcPr>
          <w:tcW w:w="3836" w:type="dxa"/>
          <w:shd w:val="clear" w:color="auto" w:fill="A6A6A6"/>
        </w:tcPr>
        <w:p w14:paraId="1C2F6AC8" w14:textId="77777777" w:rsidR="0060571A" w:rsidRPr="00995BEA" w:rsidRDefault="0060571A" w:rsidP="0060571A">
          <w:pPr>
            <w:pStyle w:val="TableParagraph"/>
            <w:spacing w:before="1"/>
            <w:ind w:left="1072" w:right="1060"/>
            <w:jc w:val="center"/>
            <w:rPr>
              <w:rFonts w:eastAsia="Calibri"/>
              <w:b/>
              <w:sz w:val="16"/>
            </w:rPr>
          </w:pPr>
          <w:r w:rsidRPr="00995BEA">
            <w:rPr>
              <w:rFonts w:eastAsia="Calibri"/>
              <w:b/>
              <w:sz w:val="16"/>
            </w:rPr>
            <w:t>Doküman</w:t>
          </w:r>
          <w:r w:rsidRPr="00995BEA">
            <w:rPr>
              <w:rFonts w:eastAsia="Calibri"/>
              <w:b/>
              <w:spacing w:val="-3"/>
              <w:sz w:val="16"/>
            </w:rPr>
            <w:t xml:space="preserve"> </w:t>
          </w:r>
          <w:r w:rsidRPr="00995BEA">
            <w:rPr>
              <w:rFonts w:eastAsia="Calibri"/>
              <w:b/>
              <w:sz w:val="16"/>
            </w:rPr>
            <w:t>Onay</w:t>
          </w:r>
        </w:p>
        <w:p w14:paraId="622047E8" w14:textId="77777777" w:rsidR="0060571A" w:rsidRPr="00995BEA" w:rsidRDefault="0060571A" w:rsidP="0060571A">
          <w:pPr>
            <w:pStyle w:val="TableParagraph"/>
            <w:ind w:left="0"/>
            <w:rPr>
              <w:rFonts w:eastAsia="Calibri"/>
              <w:sz w:val="16"/>
            </w:rPr>
          </w:pPr>
        </w:p>
        <w:p w14:paraId="0B73738A" w14:textId="77777777" w:rsidR="0060571A" w:rsidRPr="00995BEA" w:rsidRDefault="0060571A" w:rsidP="0060571A">
          <w:pPr>
            <w:pStyle w:val="TableParagraph"/>
            <w:spacing w:line="165" w:lineRule="exact"/>
            <w:ind w:left="1072" w:right="1060"/>
            <w:jc w:val="center"/>
            <w:rPr>
              <w:rFonts w:eastAsia="Calibri"/>
              <w:b/>
              <w:sz w:val="16"/>
            </w:rPr>
          </w:pPr>
          <w:r w:rsidRPr="00995BEA">
            <w:rPr>
              <w:rFonts w:eastAsia="Calibri"/>
              <w:b/>
              <w:sz w:val="16"/>
            </w:rPr>
            <w:t>Kalite</w:t>
          </w:r>
          <w:r w:rsidRPr="00995BEA">
            <w:rPr>
              <w:rFonts w:eastAsia="Calibri"/>
              <w:b/>
              <w:spacing w:val="-5"/>
              <w:sz w:val="16"/>
            </w:rPr>
            <w:t xml:space="preserve"> </w:t>
          </w:r>
          <w:r w:rsidRPr="00995BEA">
            <w:rPr>
              <w:rFonts w:eastAsia="Calibri"/>
              <w:b/>
              <w:sz w:val="16"/>
            </w:rPr>
            <w:t>Koordinatörlüğü</w:t>
          </w:r>
        </w:p>
      </w:tc>
      <w:tc>
        <w:tcPr>
          <w:tcW w:w="2865" w:type="dxa"/>
          <w:shd w:val="clear" w:color="auto" w:fill="A6A6A6"/>
        </w:tcPr>
        <w:p w14:paraId="672429F5" w14:textId="77777777" w:rsidR="0060571A" w:rsidRPr="00995BEA" w:rsidRDefault="0060571A" w:rsidP="0060571A">
          <w:pPr>
            <w:pStyle w:val="TableParagraph"/>
            <w:spacing w:before="1"/>
            <w:ind w:left="410" w:right="401"/>
            <w:jc w:val="center"/>
            <w:rPr>
              <w:rFonts w:eastAsia="Calibri"/>
              <w:b/>
              <w:sz w:val="16"/>
            </w:rPr>
          </w:pPr>
          <w:r w:rsidRPr="00995BEA">
            <w:rPr>
              <w:rFonts w:eastAsia="Calibri"/>
              <w:b/>
              <w:sz w:val="16"/>
            </w:rPr>
            <w:t>Yürürlük</w:t>
          </w:r>
          <w:r w:rsidRPr="00995BEA">
            <w:rPr>
              <w:rFonts w:eastAsia="Calibri"/>
              <w:b/>
              <w:spacing w:val="-3"/>
              <w:sz w:val="16"/>
            </w:rPr>
            <w:t xml:space="preserve"> </w:t>
          </w:r>
          <w:r w:rsidRPr="00995BEA">
            <w:rPr>
              <w:rFonts w:eastAsia="Calibri"/>
              <w:b/>
              <w:sz w:val="16"/>
            </w:rPr>
            <w:t>Onay</w:t>
          </w:r>
        </w:p>
        <w:p w14:paraId="716A7803" w14:textId="77777777" w:rsidR="0060571A" w:rsidRPr="00995BEA" w:rsidRDefault="0060571A" w:rsidP="0060571A">
          <w:pPr>
            <w:pStyle w:val="TableParagraph"/>
            <w:ind w:left="0"/>
            <w:rPr>
              <w:rFonts w:eastAsia="Calibri"/>
              <w:sz w:val="16"/>
            </w:rPr>
          </w:pPr>
        </w:p>
        <w:p w14:paraId="1C8B0D65" w14:textId="77777777" w:rsidR="0060571A" w:rsidRPr="00995BEA" w:rsidRDefault="0060571A" w:rsidP="0060571A">
          <w:pPr>
            <w:pStyle w:val="TableParagraph"/>
            <w:spacing w:line="165" w:lineRule="exact"/>
            <w:ind w:left="410" w:right="402"/>
            <w:jc w:val="center"/>
            <w:rPr>
              <w:rFonts w:eastAsia="Calibri"/>
              <w:b/>
              <w:sz w:val="16"/>
            </w:rPr>
          </w:pPr>
          <w:r w:rsidRPr="00995BEA">
            <w:rPr>
              <w:rFonts w:eastAsia="Calibri"/>
              <w:b/>
              <w:sz w:val="16"/>
            </w:rPr>
            <w:t>Üniversite</w:t>
          </w:r>
          <w:r w:rsidRPr="00995BEA">
            <w:rPr>
              <w:rFonts w:eastAsia="Calibri"/>
              <w:b/>
              <w:spacing w:val="-6"/>
              <w:sz w:val="16"/>
            </w:rPr>
            <w:t xml:space="preserve"> </w:t>
          </w:r>
          <w:r w:rsidRPr="00995BEA">
            <w:rPr>
              <w:rFonts w:eastAsia="Calibri"/>
              <w:b/>
              <w:sz w:val="16"/>
            </w:rPr>
            <w:t>Kalite</w:t>
          </w:r>
          <w:r w:rsidRPr="00995BEA">
            <w:rPr>
              <w:rFonts w:eastAsia="Calibri"/>
              <w:b/>
              <w:spacing w:val="-2"/>
              <w:sz w:val="16"/>
            </w:rPr>
            <w:t xml:space="preserve"> </w:t>
          </w:r>
          <w:r w:rsidRPr="00995BEA">
            <w:rPr>
              <w:rFonts w:eastAsia="Calibri"/>
              <w:b/>
              <w:sz w:val="16"/>
            </w:rPr>
            <w:t>Komisyonu</w:t>
          </w:r>
        </w:p>
      </w:tc>
    </w:tr>
  </w:tbl>
  <w:p w14:paraId="00040C69" w14:textId="77777777" w:rsidR="0060571A" w:rsidRDefault="0060571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84FA" w14:textId="77777777" w:rsidR="002A0A04" w:rsidRDefault="002A0A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1B35" w14:textId="77777777" w:rsidR="00215A4F" w:rsidRDefault="00215A4F" w:rsidP="0060571A">
      <w:r>
        <w:separator/>
      </w:r>
    </w:p>
  </w:footnote>
  <w:footnote w:type="continuationSeparator" w:id="0">
    <w:p w14:paraId="78D64066" w14:textId="77777777" w:rsidR="00215A4F" w:rsidRDefault="00215A4F" w:rsidP="00605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698D" w14:textId="77777777" w:rsidR="002A0A04" w:rsidRDefault="002A0A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9093" w14:textId="56F8E205" w:rsidR="002A0A04" w:rsidRDefault="002A0A04">
    <w:pPr>
      <w:pStyle w:val="stBilgi"/>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62"/>
      <w:gridCol w:w="3438"/>
      <w:gridCol w:w="1697"/>
      <w:gridCol w:w="1169"/>
    </w:tblGrid>
    <w:tr w:rsidR="002A0A04" w:rsidRPr="007C1C31" w14:paraId="533B79FA" w14:textId="77777777" w:rsidTr="00E8390C">
      <w:trPr>
        <w:trHeight w:val="614"/>
      </w:trPr>
      <w:tc>
        <w:tcPr>
          <w:tcW w:w="1744" w:type="dxa"/>
          <w:vMerge w:val="restart"/>
          <w:shd w:val="clear" w:color="auto" w:fill="auto"/>
        </w:tcPr>
        <w:p w14:paraId="578804F5" w14:textId="77777777" w:rsidR="002A0A04" w:rsidRPr="007C1C31" w:rsidRDefault="002A0A04" w:rsidP="002A0A04">
          <w:pPr>
            <w:jc w:val="center"/>
            <w:rPr>
              <w:sz w:val="22"/>
              <w:szCs w:val="22"/>
            </w:rPr>
          </w:pPr>
          <w:r w:rsidRPr="007C1C31">
            <w:rPr>
              <w:noProof/>
              <w:sz w:val="22"/>
              <w:szCs w:val="22"/>
            </w:rPr>
            <w:drawing>
              <wp:anchor distT="0" distB="0" distL="114300" distR="114300" simplePos="0" relativeHeight="251659264" behindDoc="0" locked="0" layoutInCell="1" allowOverlap="1" wp14:anchorId="199839D0" wp14:editId="7FEE94A2">
                <wp:simplePos x="0" y="0"/>
                <wp:positionH relativeFrom="column">
                  <wp:posOffset>8890</wp:posOffset>
                </wp:positionH>
                <wp:positionV relativeFrom="paragraph">
                  <wp:posOffset>160020</wp:posOffset>
                </wp:positionV>
                <wp:extent cx="923290" cy="588010"/>
                <wp:effectExtent l="0" t="0" r="0" b="2540"/>
                <wp:wrapNone/>
                <wp:docPr id="661480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29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66" w:type="dxa"/>
          <w:gridSpan w:val="4"/>
          <w:shd w:val="clear" w:color="auto" w:fill="auto"/>
        </w:tcPr>
        <w:p w14:paraId="183315A1" w14:textId="77777777" w:rsidR="002A0A04" w:rsidRDefault="002A0A04" w:rsidP="002A0A04">
          <w:pPr>
            <w:jc w:val="center"/>
            <w:rPr>
              <w:bCs/>
              <w:sz w:val="22"/>
              <w:szCs w:val="22"/>
            </w:rPr>
          </w:pPr>
          <w:r w:rsidRPr="00856BA1">
            <w:rPr>
              <w:bCs/>
              <w:sz w:val="22"/>
              <w:szCs w:val="22"/>
            </w:rPr>
            <w:t xml:space="preserve">SÜREKLİ EĞİTİM MERKEZİ (MESEM) </w:t>
          </w:r>
        </w:p>
        <w:p w14:paraId="7AD1872B" w14:textId="77777777" w:rsidR="002A0A04" w:rsidRPr="007819D8" w:rsidRDefault="002A0A04" w:rsidP="002A0A04">
          <w:pPr>
            <w:jc w:val="center"/>
            <w:rPr>
              <w:b/>
              <w:bCs/>
              <w:sz w:val="22"/>
              <w:szCs w:val="22"/>
            </w:rPr>
          </w:pPr>
          <w:r w:rsidRPr="00A86D46">
            <w:rPr>
              <w:bCs/>
              <w:sz w:val="22"/>
              <w:szCs w:val="22"/>
            </w:rPr>
            <w:t>YÖNETİM KURULU ÜYESİ GÖREV TANIMI</w:t>
          </w:r>
        </w:p>
      </w:tc>
    </w:tr>
    <w:tr w:rsidR="002A0A04" w:rsidRPr="007C1C31" w14:paraId="1144CFC8" w14:textId="77777777" w:rsidTr="00E8390C">
      <w:trPr>
        <w:trHeight w:hRule="exact" w:val="312"/>
      </w:trPr>
      <w:tc>
        <w:tcPr>
          <w:tcW w:w="1744" w:type="dxa"/>
          <w:vMerge/>
          <w:shd w:val="clear" w:color="auto" w:fill="auto"/>
        </w:tcPr>
        <w:p w14:paraId="2BC34151" w14:textId="77777777" w:rsidR="002A0A04" w:rsidRPr="007C1C31" w:rsidRDefault="002A0A04" w:rsidP="002A0A04">
          <w:pPr>
            <w:rPr>
              <w:sz w:val="22"/>
              <w:szCs w:val="22"/>
            </w:rPr>
          </w:pPr>
        </w:p>
      </w:tc>
      <w:tc>
        <w:tcPr>
          <w:tcW w:w="1762" w:type="dxa"/>
          <w:shd w:val="clear" w:color="auto" w:fill="auto"/>
        </w:tcPr>
        <w:p w14:paraId="7CAD7D90" w14:textId="77777777" w:rsidR="002A0A04" w:rsidRPr="007C1C31" w:rsidRDefault="002A0A04" w:rsidP="002A0A04">
          <w:pPr>
            <w:rPr>
              <w:sz w:val="22"/>
              <w:szCs w:val="22"/>
            </w:rPr>
          </w:pPr>
          <w:r w:rsidRPr="007C1C31">
            <w:rPr>
              <w:sz w:val="22"/>
              <w:szCs w:val="22"/>
            </w:rPr>
            <w:t>Doküman No</w:t>
          </w:r>
          <w:r>
            <w:rPr>
              <w:sz w:val="22"/>
              <w:szCs w:val="22"/>
            </w:rPr>
            <w:t>.</w:t>
          </w:r>
        </w:p>
      </w:tc>
      <w:tc>
        <w:tcPr>
          <w:tcW w:w="3438" w:type="dxa"/>
          <w:shd w:val="clear" w:color="auto" w:fill="auto"/>
        </w:tcPr>
        <w:p w14:paraId="26B705E9" w14:textId="77777777" w:rsidR="002A0A04" w:rsidRPr="007C1C31" w:rsidRDefault="002A0A04" w:rsidP="002A0A04">
          <w:pPr>
            <w:spacing w:after="200" w:line="276" w:lineRule="auto"/>
            <w:rPr>
              <w:rFonts w:eastAsia="Calibri"/>
              <w:sz w:val="22"/>
              <w:szCs w:val="22"/>
              <w:lang w:eastAsia="en-US"/>
            </w:rPr>
          </w:pPr>
          <w:r w:rsidRPr="00705052">
            <w:rPr>
              <w:rFonts w:eastAsia="Calibri"/>
              <w:sz w:val="22"/>
              <w:szCs w:val="22"/>
              <w:lang w:eastAsia="en-US"/>
            </w:rPr>
            <w:t>GRT-0</w:t>
          </w:r>
          <w:r>
            <w:rPr>
              <w:rFonts w:eastAsia="Calibri"/>
              <w:sz w:val="22"/>
              <w:szCs w:val="22"/>
              <w:lang w:eastAsia="en-US"/>
            </w:rPr>
            <w:t>42</w:t>
          </w:r>
        </w:p>
      </w:tc>
      <w:tc>
        <w:tcPr>
          <w:tcW w:w="1697" w:type="dxa"/>
          <w:shd w:val="clear" w:color="auto" w:fill="auto"/>
        </w:tcPr>
        <w:p w14:paraId="566A7437" w14:textId="77777777" w:rsidR="002A0A04" w:rsidRPr="007C1C31" w:rsidRDefault="002A0A04" w:rsidP="002A0A04">
          <w:pPr>
            <w:rPr>
              <w:sz w:val="22"/>
              <w:szCs w:val="22"/>
            </w:rPr>
          </w:pPr>
          <w:r w:rsidRPr="007C1C31">
            <w:rPr>
              <w:sz w:val="22"/>
              <w:szCs w:val="22"/>
            </w:rPr>
            <w:t>Revizyon Tarihi</w:t>
          </w:r>
        </w:p>
      </w:tc>
      <w:tc>
        <w:tcPr>
          <w:tcW w:w="1169" w:type="dxa"/>
          <w:shd w:val="clear" w:color="auto" w:fill="auto"/>
        </w:tcPr>
        <w:p w14:paraId="4CF94124" w14:textId="77777777" w:rsidR="002A0A04" w:rsidRPr="007C1C31" w:rsidRDefault="002A0A04" w:rsidP="002A0A04">
          <w:pPr>
            <w:rPr>
              <w:sz w:val="22"/>
              <w:szCs w:val="22"/>
            </w:rPr>
          </w:pPr>
        </w:p>
      </w:tc>
    </w:tr>
    <w:tr w:rsidR="002A0A04" w:rsidRPr="007C1C31" w14:paraId="7030D92C" w14:textId="77777777" w:rsidTr="00E8390C">
      <w:trPr>
        <w:trHeight w:hRule="exact" w:val="312"/>
      </w:trPr>
      <w:tc>
        <w:tcPr>
          <w:tcW w:w="1744" w:type="dxa"/>
          <w:vMerge/>
          <w:shd w:val="clear" w:color="auto" w:fill="auto"/>
        </w:tcPr>
        <w:p w14:paraId="17E3ECFF" w14:textId="77777777" w:rsidR="002A0A04" w:rsidRPr="007C1C31" w:rsidRDefault="002A0A04" w:rsidP="002A0A04">
          <w:pPr>
            <w:rPr>
              <w:sz w:val="22"/>
              <w:szCs w:val="22"/>
            </w:rPr>
          </w:pPr>
        </w:p>
      </w:tc>
      <w:tc>
        <w:tcPr>
          <w:tcW w:w="1762" w:type="dxa"/>
          <w:shd w:val="clear" w:color="auto" w:fill="auto"/>
        </w:tcPr>
        <w:p w14:paraId="1E07B51A" w14:textId="77777777" w:rsidR="002A0A04" w:rsidRPr="007C1C31" w:rsidRDefault="002A0A04" w:rsidP="002A0A04">
          <w:pPr>
            <w:rPr>
              <w:sz w:val="22"/>
              <w:szCs w:val="22"/>
            </w:rPr>
          </w:pPr>
          <w:r w:rsidRPr="007C1C31">
            <w:rPr>
              <w:sz w:val="22"/>
              <w:szCs w:val="22"/>
            </w:rPr>
            <w:t>İlk Yayın Tarihi</w:t>
          </w:r>
        </w:p>
      </w:tc>
      <w:tc>
        <w:tcPr>
          <w:tcW w:w="3438" w:type="dxa"/>
          <w:shd w:val="clear" w:color="auto" w:fill="auto"/>
        </w:tcPr>
        <w:p w14:paraId="28BB5E58" w14:textId="77777777" w:rsidR="002A0A04" w:rsidRPr="007C1C31" w:rsidRDefault="002A0A04" w:rsidP="002A0A04">
          <w:pPr>
            <w:spacing w:after="200" w:line="276" w:lineRule="auto"/>
            <w:rPr>
              <w:rFonts w:eastAsia="Calibri"/>
              <w:sz w:val="22"/>
              <w:szCs w:val="22"/>
              <w:lang w:eastAsia="en-US"/>
            </w:rPr>
          </w:pPr>
        </w:p>
      </w:tc>
      <w:tc>
        <w:tcPr>
          <w:tcW w:w="1697" w:type="dxa"/>
          <w:shd w:val="clear" w:color="auto" w:fill="auto"/>
        </w:tcPr>
        <w:p w14:paraId="371F1CC7" w14:textId="77777777" w:rsidR="002A0A04" w:rsidRPr="007C1C31" w:rsidRDefault="002A0A04" w:rsidP="002A0A04">
          <w:pPr>
            <w:rPr>
              <w:sz w:val="22"/>
              <w:szCs w:val="22"/>
            </w:rPr>
          </w:pPr>
          <w:r w:rsidRPr="007C1C31">
            <w:rPr>
              <w:sz w:val="22"/>
              <w:szCs w:val="22"/>
            </w:rPr>
            <w:t>Revizyon No</w:t>
          </w:r>
          <w:r>
            <w:rPr>
              <w:sz w:val="22"/>
              <w:szCs w:val="22"/>
            </w:rPr>
            <w:t>.</w:t>
          </w:r>
        </w:p>
      </w:tc>
      <w:tc>
        <w:tcPr>
          <w:tcW w:w="1169" w:type="dxa"/>
          <w:shd w:val="clear" w:color="auto" w:fill="auto"/>
        </w:tcPr>
        <w:p w14:paraId="3F9FCAB8" w14:textId="77777777" w:rsidR="002A0A04" w:rsidRPr="007C1C31" w:rsidRDefault="002A0A04" w:rsidP="002A0A04">
          <w:pPr>
            <w:rPr>
              <w:sz w:val="22"/>
              <w:szCs w:val="22"/>
            </w:rPr>
          </w:pPr>
        </w:p>
      </w:tc>
    </w:tr>
    <w:tr w:rsidR="002A0A04" w:rsidRPr="007C1C31" w14:paraId="7A0B2BB2" w14:textId="77777777" w:rsidTr="00E8390C">
      <w:trPr>
        <w:trHeight w:hRule="exact" w:val="312"/>
      </w:trPr>
      <w:tc>
        <w:tcPr>
          <w:tcW w:w="1744" w:type="dxa"/>
          <w:vMerge/>
          <w:shd w:val="clear" w:color="auto" w:fill="auto"/>
        </w:tcPr>
        <w:p w14:paraId="1D084F25" w14:textId="77777777" w:rsidR="002A0A04" w:rsidRPr="007C1C31" w:rsidRDefault="002A0A04" w:rsidP="002A0A04">
          <w:pPr>
            <w:rPr>
              <w:sz w:val="22"/>
              <w:szCs w:val="22"/>
            </w:rPr>
          </w:pPr>
        </w:p>
      </w:tc>
      <w:tc>
        <w:tcPr>
          <w:tcW w:w="5200" w:type="dxa"/>
          <w:gridSpan w:val="2"/>
          <w:shd w:val="clear" w:color="auto" w:fill="auto"/>
        </w:tcPr>
        <w:p w14:paraId="62D0F01E" w14:textId="77777777" w:rsidR="002A0A04" w:rsidRPr="007C1C31" w:rsidRDefault="002A0A04" w:rsidP="002A0A04">
          <w:pPr>
            <w:pStyle w:val="Balk1"/>
            <w:ind w:left="-142" w:right="-219"/>
            <w:rPr>
              <w:i/>
              <w:iCs/>
              <w:color w:val="FF0000"/>
              <w:sz w:val="22"/>
              <w:szCs w:val="22"/>
              <w:u w:val="single"/>
            </w:rPr>
          </w:pPr>
        </w:p>
        <w:p w14:paraId="04989927" w14:textId="77777777" w:rsidR="002A0A04" w:rsidRPr="007C1C31" w:rsidRDefault="002A0A04" w:rsidP="002A0A04">
          <w:pPr>
            <w:rPr>
              <w:sz w:val="22"/>
              <w:szCs w:val="22"/>
            </w:rPr>
          </w:pPr>
        </w:p>
      </w:tc>
      <w:tc>
        <w:tcPr>
          <w:tcW w:w="1697" w:type="dxa"/>
          <w:shd w:val="clear" w:color="auto" w:fill="auto"/>
        </w:tcPr>
        <w:p w14:paraId="6D381002" w14:textId="77777777" w:rsidR="002A0A04" w:rsidRPr="007C1C31" w:rsidRDefault="002A0A04" w:rsidP="002A0A04">
          <w:pPr>
            <w:rPr>
              <w:sz w:val="22"/>
              <w:szCs w:val="22"/>
            </w:rPr>
          </w:pPr>
          <w:r w:rsidRPr="007C1C31">
            <w:rPr>
              <w:sz w:val="22"/>
              <w:szCs w:val="22"/>
            </w:rPr>
            <w:t xml:space="preserve">Sayfa </w:t>
          </w:r>
          <w:r>
            <w:rPr>
              <w:sz w:val="22"/>
              <w:szCs w:val="22"/>
            </w:rPr>
            <w:t>Adedi</w:t>
          </w:r>
        </w:p>
      </w:tc>
      <w:tc>
        <w:tcPr>
          <w:tcW w:w="1169" w:type="dxa"/>
          <w:shd w:val="clear" w:color="auto" w:fill="auto"/>
        </w:tcPr>
        <w:p w14:paraId="1ACB0854" w14:textId="77777777" w:rsidR="002A0A04" w:rsidRPr="007C1C31" w:rsidRDefault="002A0A04" w:rsidP="002A0A04">
          <w:pPr>
            <w:rPr>
              <w:sz w:val="22"/>
              <w:szCs w:val="22"/>
            </w:rPr>
          </w:pPr>
          <w:r>
            <w:rPr>
              <w:sz w:val="22"/>
              <w:szCs w:val="22"/>
            </w:rPr>
            <w:t>1</w:t>
          </w:r>
        </w:p>
      </w:tc>
    </w:tr>
  </w:tbl>
  <w:p w14:paraId="4502FCEB" w14:textId="77777777" w:rsidR="002A0A04" w:rsidRDefault="002A0A0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11E9" w14:textId="77777777" w:rsidR="002A0A04" w:rsidRDefault="002A0A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CBA"/>
    <w:multiLevelType w:val="hybridMultilevel"/>
    <w:tmpl w:val="2D36B85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1C8845AA"/>
    <w:multiLevelType w:val="hybridMultilevel"/>
    <w:tmpl w:val="A050AE7E"/>
    <w:lvl w:ilvl="0" w:tplc="BAAA7DB8">
      <w:start w:val="1"/>
      <w:numFmt w:val="lowerLetter"/>
      <w:lvlText w:val="%1)"/>
      <w:lvlJc w:val="left"/>
      <w:pPr>
        <w:ind w:left="442" w:hanging="247"/>
      </w:pPr>
      <w:rPr>
        <w:rFonts w:ascii="Times New Roman" w:eastAsia="Times New Roman" w:hAnsi="Times New Roman" w:cs="Times New Roman" w:hint="default"/>
        <w:w w:val="100"/>
        <w:sz w:val="24"/>
        <w:szCs w:val="24"/>
        <w:lang w:val="tr-TR" w:eastAsia="en-US" w:bidi="ar-SA"/>
      </w:rPr>
    </w:lvl>
    <w:lvl w:ilvl="1" w:tplc="777C3D90">
      <w:numFmt w:val="bullet"/>
      <w:lvlText w:val="•"/>
      <w:lvlJc w:val="left"/>
      <w:pPr>
        <w:ind w:left="1401" w:hanging="247"/>
      </w:pPr>
      <w:rPr>
        <w:rFonts w:hint="default"/>
        <w:lang w:val="tr-TR" w:eastAsia="en-US" w:bidi="ar-SA"/>
      </w:rPr>
    </w:lvl>
    <w:lvl w:ilvl="2" w:tplc="4C2A742A">
      <w:numFmt w:val="bullet"/>
      <w:lvlText w:val="•"/>
      <w:lvlJc w:val="left"/>
      <w:pPr>
        <w:ind w:left="2363" w:hanging="247"/>
      </w:pPr>
      <w:rPr>
        <w:rFonts w:hint="default"/>
        <w:lang w:val="tr-TR" w:eastAsia="en-US" w:bidi="ar-SA"/>
      </w:rPr>
    </w:lvl>
    <w:lvl w:ilvl="3" w:tplc="F0685362">
      <w:numFmt w:val="bullet"/>
      <w:lvlText w:val="•"/>
      <w:lvlJc w:val="left"/>
      <w:pPr>
        <w:ind w:left="3325" w:hanging="247"/>
      </w:pPr>
      <w:rPr>
        <w:rFonts w:hint="default"/>
        <w:lang w:val="tr-TR" w:eastAsia="en-US" w:bidi="ar-SA"/>
      </w:rPr>
    </w:lvl>
    <w:lvl w:ilvl="4" w:tplc="61BCF028">
      <w:numFmt w:val="bullet"/>
      <w:lvlText w:val="•"/>
      <w:lvlJc w:val="left"/>
      <w:pPr>
        <w:ind w:left="4287" w:hanging="247"/>
      </w:pPr>
      <w:rPr>
        <w:rFonts w:hint="default"/>
        <w:lang w:val="tr-TR" w:eastAsia="en-US" w:bidi="ar-SA"/>
      </w:rPr>
    </w:lvl>
    <w:lvl w:ilvl="5" w:tplc="B630C21C">
      <w:numFmt w:val="bullet"/>
      <w:lvlText w:val="•"/>
      <w:lvlJc w:val="left"/>
      <w:pPr>
        <w:ind w:left="5249" w:hanging="247"/>
      </w:pPr>
      <w:rPr>
        <w:rFonts w:hint="default"/>
        <w:lang w:val="tr-TR" w:eastAsia="en-US" w:bidi="ar-SA"/>
      </w:rPr>
    </w:lvl>
    <w:lvl w:ilvl="6" w:tplc="48B83742">
      <w:numFmt w:val="bullet"/>
      <w:lvlText w:val="•"/>
      <w:lvlJc w:val="left"/>
      <w:pPr>
        <w:ind w:left="6210" w:hanging="247"/>
      </w:pPr>
      <w:rPr>
        <w:rFonts w:hint="default"/>
        <w:lang w:val="tr-TR" w:eastAsia="en-US" w:bidi="ar-SA"/>
      </w:rPr>
    </w:lvl>
    <w:lvl w:ilvl="7" w:tplc="5C62A252">
      <w:numFmt w:val="bullet"/>
      <w:lvlText w:val="•"/>
      <w:lvlJc w:val="left"/>
      <w:pPr>
        <w:ind w:left="7172" w:hanging="247"/>
      </w:pPr>
      <w:rPr>
        <w:rFonts w:hint="default"/>
        <w:lang w:val="tr-TR" w:eastAsia="en-US" w:bidi="ar-SA"/>
      </w:rPr>
    </w:lvl>
    <w:lvl w:ilvl="8" w:tplc="BAEEEFEC">
      <w:numFmt w:val="bullet"/>
      <w:lvlText w:val="•"/>
      <w:lvlJc w:val="left"/>
      <w:pPr>
        <w:ind w:left="8134" w:hanging="247"/>
      </w:pPr>
      <w:rPr>
        <w:rFonts w:hint="default"/>
        <w:lang w:val="tr-TR" w:eastAsia="en-US" w:bidi="ar-SA"/>
      </w:rPr>
    </w:lvl>
  </w:abstractNum>
  <w:abstractNum w:abstractNumId="2" w15:restartNumberingAfterBreak="0">
    <w:nsid w:val="20DD0942"/>
    <w:multiLevelType w:val="hybridMultilevel"/>
    <w:tmpl w:val="938A7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F47DE3"/>
    <w:multiLevelType w:val="hybridMultilevel"/>
    <w:tmpl w:val="92C4F384"/>
    <w:lvl w:ilvl="0" w:tplc="041F0011">
      <w:start w:val="1"/>
      <w:numFmt w:val="decimal"/>
      <w:lvlText w:val="%1)"/>
      <w:lvlJc w:val="left"/>
      <w:pPr>
        <w:ind w:left="1194" w:hanging="360"/>
      </w:pPr>
    </w:lvl>
    <w:lvl w:ilvl="1" w:tplc="041F0019" w:tentative="1">
      <w:start w:val="1"/>
      <w:numFmt w:val="lowerLetter"/>
      <w:lvlText w:val="%2."/>
      <w:lvlJc w:val="left"/>
      <w:pPr>
        <w:ind w:left="1914" w:hanging="360"/>
      </w:pPr>
    </w:lvl>
    <w:lvl w:ilvl="2" w:tplc="041F001B" w:tentative="1">
      <w:start w:val="1"/>
      <w:numFmt w:val="lowerRoman"/>
      <w:lvlText w:val="%3."/>
      <w:lvlJc w:val="right"/>
      <w:pPr>
        <w:ind w:left="2634" w:hanging="180"/>
      </w:pPr>
    </w:lvl>
    <w:lvl w:ilvl="3" w:tplc="041F000F" w:tentative="1">
      <w:start w:val="1"/>
      <w:numFmt w:val="decimal"/>
      <w:lvlText w:val="%4."/>
      <w:lvlJc w:val="left"/>
      <w:pPr>
        <w:ind w:left="3354" w:hanging="360"/>
      </w:pPr>
    </w:lvl>
    <w:lvl w:ilvl="4" w:tplc="041F0019" w:tentative="1">
      <w:start w:val="1"/>
      <w:numFmt w:val="lowerLetter"/>
      <w:lvlText w:val="%5."/>
      <w:lvlJc w:val="left"/>
      <w:pPr>
        <w:ind w:left="4074" w:hanging="360"/>
      </w:pPr>
    </w:lvl>
    <w:lvl w:ilvl="5" w:tplc="041F001B" w:tentative="1">
      <w:start w:val="1"/>
      <w:numFmt w:val="lowerRoman"/>
      <w:lvlText w:val="%6."/>
      <w:lvlJc w:val="right"/>
      <w:pPr>
        <w:ind w:left="4794" w:hanging="180"/>
      </w:pPr>
    </w:lvl>
    <w:lvl w:ilvl="6" w:tplc="041F000F" w:tentative="1">
      <w:start w:val="1"/>
      <w:numFmt w:val="decimal"/>
      <w:lvlText w:val="%7."/>
      <w:lvlJc w:val="left"/>
      <w:pPr>
        <w:ind w:left="5514" w:hanging="360"/>
      </w:pPr>
    </w:lvl>
    <w:lvl w:ilvl="7" w:tplc="041F0019" w:tentative="1">
      <w:start w:val="1"/>
      <w:numFmt w:val="lowerLetter"/>
      <w:lvlText w:val="%8."/>
      <w:lvlJc w:val="left"/>
      <w:pPr>
        <w:ind w:left="6234" w:hanging="360"/>
      </w:pPr>
    </w:lvl>
    <w:lvl w:ilvl="8" w:tplc="041F001B" w:tentative="1">
      <w:start w:val="1"/>
      <w:numFmt w:val="lowerRoman"/>
      <w:lvlText w:val="%9."/>
      <w:lvlJc w:val="right"/>
      <w:pPr>
        <w:ind w:left="6954" w:hanging="180"/>
      </w:pPr>
    </w:lvl>
  </w:abstractNum>
  <w:abstractNum w:abstractNumId="4" w15:restartNumberingAfterBreak="0">
    <w:nsid w:val="495C19A5"/>
    <w:multiLevelType w:val="hybridMultilevel"/>
    <w:tmpl w:val="2C88C5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DE6AB5"/>
    <w:multiLevelType w:val="hybridMultilevel"/>
    <w:tmpl w:val="DBA60910"/>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538E43C7"/>
    <w:multiLevelType w:val="hybridMultilevel"/>
    <w:tmpl w:val="FB7452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482C29"/>
    <w:multiLevelType w:val="hybridMultilevel"/>
    <w:tmpl w:val="7AEC1296"/>
    <w:lvl w:ilvl="0" w:tplc="5BDEB8C8">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B8"/>
    <w:rsid w:val="00011D21"/>
    <w:rsid w:val="001023FA"/>
    <w:rsid w:val="00133899"/>
    <w:rsid w:val="001F7DA9"/>
    <w:rsid w:val="00215A4F"/>
    <w:rsid w:val="0026656A"/>
    <w:rsid w:val="002A0A04"/>
    <w:rsid w:val="002C6A05"/>
    <w:rsid w:val="002E5FDD"/>
    <w:rsid w:val="00355E0E"/>
    <w:rsid w:val="003B558C"/>
    <w:rsid w:val="003D7B00"/>
    <w:rsid w:val="004549DF"/>
    <w:rsid w:val="00454C04"/>
    <w:rsid w:val="00471C56"/>
    <w:rsid w:val="004B7389"/>
    <w:rsid w:val="005D6F9F"/>
    <w:rsid w:val="0060571A"/>
    <w:rsid w:val="0070455C"/>
    <w:rsid w:val="00705052"/>
    <w:rsid w:val="00714FF9"/>
    <w:rsid w:val="007819D8"/>
    <w:rsid w:val="007E0FD6"/>
    <w:rsid w:val="007F4EEB"/>
    <w:rsid w:val="0082087F"/>
    <w:rsid w:val="00856BA1"/>
    <w:rsid w:val="00871AA0"/>
    <w:rsid w:val="0087350E"/>
    <w:rsid w:val="00891B7C"/>
    <w:rsid w:val="008C36E0"/>
    <w:rsid w:val="00925F2B"/>
    <w:rsid w:val="009A0FEF"/>
    <w:rsid w:val="009A65D7"/>
    <w:rsid w:val="009C66BF"/>
    <w:rsid w:val="009C7269"/>
    <w:rsid w:val="00A026F8"/>
    <w:rsid w:val="00A86D46"/>
    <w:rsid w:val="00AC3E0D"/>
    <w:rsid w:val="00B06C1D"/>
    <w:rsid w:val="00B1230B"/>
    <w:rsid w:val="00B35966"/>
    <w:rsid w:val="00B41FE2"/>
    <w:rsid w:val="00C44C22"/>
    <w:rsid w:val="00CB0F1D"/>
    <w:rsid w:val="00D1160B"/>
    <w:rsid w:val="00D527E7"/>
    <w:rsid w:val="00DD6C26"/>
    <w:rsid w:val="00E13CAE"/>
    <w:rsid w:val="00E727B3"/>
    <w:rsid w:val="00EA58B8"/>
    <w:rsid w:val="00F17C48"/>
    <w:rsid w:val="00F3046D"/>
    <w:rsid w:val="00FA1833"/>
    <w:rsid w:val="00FB5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C4BC7"/>
  <w15:chartTrackingRefBased/>
  <w15:docId w15:val="{DBAEE864-C9BC-4762-9C4F-F9E65CFF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5D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9A65D7"/>
    <w:pPr>
      <w:keepNext/>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9A65D7"/>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9A65D7"/>
    <w:pPr>
      <w:ind w:left="720"/>
      <w:contextualSpacing/>
    </w:pPr>
  </w:style>
  <w:style w:type="paragraph" w:customStyle="1" w:styleId="TableParagraph">
    <w:name w:val="Table Paragraph"/>
    <w:basedOn w:val="Normal"/>
    <w:uiPriority w:val="1"/>
    <w:qFormat/>
    <w:rsid w:val="0082087F"/>
    <w:pPr>
      <w:widowControl w:val="0"/>
      <w:autoSpaceDE w:val="0"/>
      <w:autoSpaceDN w:val="0"/>
      <w:ind w:left="107"/>
    </w:pPr>
    <w:rPr>
      <w:sz w:val="22"/>
      <w:szCs w:val="22"/>
      <w:lang w:eastAsia="en-US"/>
    </w:rPr>
  </w:style>
  <w:style w:type="paragraph" w:styleId="stBilgi">
    <w:name w:val="header"/>
    <w:basedOn w:val="Normal"/>
    <w:link w:val="stBilgiChar"/>
    <w:uiPriority w:val="99"/>
    <w:unhideWhenUsed/>
    <w:rsid w:val="0060571A"/>
    <w:pPr>
      <w:tabs>
        <w:tab w:val="center" w:pos="4536"/>
        <w:tab w:val="right" w:pos="9072"/>
      </w:tabs>
    </w:pPr>
  </w:style>
  <w:style w:type="character" w:customStyle="1" w:styleId="stBilgiChar">
    <w:name w:val="Üst Bilgi Char"/>
    <w:basedOn w:val="VarsaylanParagrafYazTipi"/>
    <w:link w:val="stBilgi"/>
    <w:uiPriority w:val="99"/>
    <w:rsid w:val="0060571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60571A"/>
    <w:pPr>
      <w:tabs>
        <w:tab w:val="center" w:pos="4536"/>
        <w:tab w:val="right" w:pos="9072"/>
      </w:tabs>
    </w:pPr>
  </w:style>
  <w:style w:type="character" w:customStyle="1" w:styleId="AltBilgiChar">
    <w:name w:val="Alt Bilgi Char"/>
    <w:basedOn w:val="VarsaylanParagrafYazTipi"/>
    <w:link w:val="AltBilgi"/>
    <w:uiPriority w:val="99"/>
    <w:rsid w:val="0060571A"/>
    <w:rPr>
      <w:rFonts w:ascii="Times New Roman" w:eastAsia="Times New Roman" w:hAnsi="Times New Roman" w:cs="Times New Roman"/>
      <w:sz w:val="20"/>
      <w:szCs w:val="20"/>
      <w:lang w:eastAsia="tr-TR"/>
    </w:rPr>
  </w:style>
  <w:style w:type="paragraph" w:styleId="GvdeMetni">
    <w:name w:val="Body Text"/>
    <w:basedOn w:val="Normal"/>
    <w:link w:val="GvdeMetniChar"/>
    <w:uiPriority w:val="1"/>
    <w:qFormat/>
    <w:rsid w:val="007819D8"/>
    <w:pPr>
      <w:widowControl w:val="0"/>
      <w:autoSpaceDE w:val="0"/>
      <w:autoSpaceDN w:val="0"/>
      <w:ind w:left="615" w:hanging="313"/>
    </w:pPr>
    <w:rPr>
      <w:sz w:val="22"/>
      <w:szCs w:val="22"/>
      <w:lang w:eastAsia="en-US"/>
    </w:rPr>
  </w:style>
  <w:style w:type="character" w:customStyle="1" w:styleId="GvdeMetniChar">
    <w:name w:val="Gövde Metni Char"/>
    <w:basedOn w:val="VarsaylanParagrafYazTipi"/>
    <w:link w:val="GvdeMetni"/>
    <w:uiPriority w:val="1"/>
    <w:rsid w:val="007819D8"/>
    <w:rPr>
      <w:rFonts w:ascii="Times New Roman" w:eastAsia="Times New Roman" w:hAnsi="Times New Roman" w:cs="Times New Roman"/>
    </w:rPr>
  </w:style>
  <w:style w:type="paragraph" w:styleId="KonuBal">
    <w:name w:val="Title"/>
    <w:basedOn w:val="Normal"/>
    <w:link w:val="KonuBalChar"/>
    <w:uiPriority w:val="1"/>
    <w:qFormat/>
    <w:rsid w:val="007F4EEB"/>
    <w:pPr>
      <w:widowControl w:val="0"/>
      <w:autoSpaceDE w:val="0"/>
      <w:autoSpaceDN w:val="0"/>
      <w:spacing w:before="58"/>
      <w:ind w:left="939"/>
    </w:pPr>
    <w:rPr>
      <w:b/>
      <w:bCs/>
      <w:sz w:val="22"/>
      <w:szCs w:val="22"/>
      <w:lang w:eastAsia="en-US"/>
    </w:rPr>
  </w:style>
  <w:style w:type="character" w:customStyle="1" w:styleId="KonuBalChar">
    <w:name w:val="Konu Başlığı Char"/>
    <w:basedOn w:val="VarsaylanParagrafYazTipi"/>
    <w:link w:val="KonuBal"/>
    <w:uiPriority w:val="1"/>
    <w:rsid w:val="007F4EE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Duman</dc:creator>
  <cp:keywords/>
  <dc:description/>
  <cp:lastModifiedBy>İSTE-PC</cp:lastModifiedBy>
  <cp:revision>2</cp:revision>
  <dcterms:created xsi:type="dcterms:W3CDTF">2024-06-13T12:26:00Z</dcterms:created>
  <dcterms:modified xsi:type="dcterms:W3CDTF">2024-06-13T12:26:00Z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9ab3cff4a2e75efedecacded307f55928c07d168c91f6027f2eead1c5837c94e</vt:lpwstr>
  </property>
</Properties>
</file>