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0B52" w14:textId="77777777" w:rsidR="00C06813" w:rsidRDefault="00C06813" w:rsidP="00BA1325">
      <w:pPr>
        <w:spacing w:line="360" w:lineRule="auto"/>
        <w:jc w:val="both"/>
        <w:rPr>
          <w:rFonts w:ascii="Times New Roman" w:hAnsi="Times New Roman"/>
          <w:b/>
          <w:sz w:val="24"/>
          <w:szCs w:val="24"/>
        </w:rPr>
      </w:pPr>
    </w:p>
    <w:p w14:paraId="49A08F88" w14:textId="6B740E93" w:rsidR="00BA1325" w:rsidRPr="00C06813" w:rsidRDefault="00BA1325" w:rsidP="00BA1325">
      <w:pPr>
        <w:spacing w:line="360" w:lineRule="auto"/>
        <w:jc w:val="both"/>
        <w:rPr>
          <w:rFonts w:ascii="Times New Roman" w:hAnsi="Times New Roman"/>
          <w:b/>
        </w:rPr>
      </w:pPr>
      <w:r w:rsidRPr="00C06813">
        <w:rPr>
          <w:rFonts w:ascii="Times New Roman" w:hAnsi="Times New Roman"/>
          <w:b/>
        </w:rPr>
        <w:t>EK 1</w:t>
      </w:r>
    </w:p>
    <w:p w14:paraId="2FAF307F" w14:textId="72741503" w:rsidR="00BA1325" w:rsidRPr="00C06813" w:rsidRDefault="00BA1325" w:rsidP="00BA1325">
      <w:pPr>
        <w:spacing w:line="360" w:lineRule="auto"/>
        <w:jc w:val="both"/>
        <w:rPr>
          <w:rFonts w:ascii="Times New Roman" w:hAnsi="Times New Roman"/>
          <w:b/>
        </w:rPr>
      </w:pPr>
      <w:r w:rsidRPr="00C06813">
        <w:rPr>
          <w:rFonts w:ascii="Times New Roman" w:hAnsi="Times New Roman"/>
          <w:b/>
        </w:rPr>
        <w:t>İSTE-BTM GÜVENLİK KURALLARI</w:t>
      </w:r>
    </w:p>
    <w:p w14:paraId="6EE434AD"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Laboratuvar kapıları güvenlik açısından her zaman kapalı tutulmalıdır.</w:t>
      </w:r>
    </w:p>
    <w:p w14:paraId="43C5C80F"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 xml:space="preserve">Laboratuvarların giriş </w:t>
      </w:r>
      <w:r w:rsidRPr="00C06813">
        <w:rPr>
          <w:rFonts w:ascii="Times New Roman" w:hAnsi="Times New Roman"/>
        </w:rPr>
        <w:softHyphen/>
        <w:t xml:space="preserve"> çıkışı denetlenmeli ve analiz yapılan bölümlere çalışanlar (izni olmayanlar) dışında kişilerin girmeleri engellenmelidir.</w:t>
      </w:r>
    </w:p>
    <w:p w14:paraId="1598C0FE"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Laboratuvara çocuk veya evcil hayvan getirilmemelidir.</w:t>
      </w:r>
    </w:p>
    <w:p w14:paraId="20308613"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 xml:space="preserve">Laboratuvarda yemek, içmek, </w:t>
      </w:r>
      <w:r w:rsidRPr="00C06813">
        <w:rPr>
          <w:rFonts w:ascii="Times New Roman" w:hAnsi="Times New Roman"/>
          <w:u w:val="single"/>
        </w:rPr>
        <w:t>sigara</w:t>
      </w:r>
      <w:r w:rsidRPr="00C06813">
        <w:rPr>
          <w:rFonts w:ascii="Times New Roman" w:hAnsi="Times New Roman"/>
          <w:bCs/>
          <w:u w:val="single"/>
        </w:rPr>
        <w:t xml:space="preserve"> içilmesi</w:t>
      </w:r>
      <w:r w:rsidRPr="00C06813">
        <w:rPr>
          <w:rFonts w:ascii="Times New Roman" w:hAnsi="Times New Roman"/>
        </w:rPr>
        <w:t xml:space="preserve"> ve laboratuvar malzemesini bu amaçla kullanılması tehlikeli ve yasaktır.</w:t>
      </w:r>
    </w:p>
    <w:p w14:paraId="00944A6B"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 xml:space="preserve">Laboratuvara çamurlu veya tozlu ayakkabı ile girilmemeli, mümkünse ayakkabılar temizlenmeli, dışarıda bırakılmalı ya da galoş giyilmelidir. </w:t>
      </w:r>
    </w:p>
    <w:p w14:paraId="53F7913C"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Palto, ceket, çanta vb. kişisel eşyalar laboratuvar dışında muhafaza edilmelidir.</w:t>
      </w:r>
    </w:p>
    <w:p w14:paraId="5B8B84A3"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 xml:space="preserve">Laboratuvarda çalışıldığı sürece kapalı ayakkabılar ve beyaz önlük giyilmelidir, koruyucu gözlük, maske ve eldiven kullanılmalıdır. </w:t>
      </w:r>
    </w:p>
    <w:p w14:paraId="126C3E5B"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Analiz yapılan bölümler, çalışan personelin rahatça hareket etmesine olanak sağlayacak genişlikte planlanmalıdır.</w:t>
      </w:r>
    </w:p>
    <w:p w14:paraId="5DA0D411"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color w:val="000000"/>
        </w:rPr>
        <w:t>Çalışma programı laboratuvara girmeden önce hazırlanmalıdır.</w:t>
      </w:r>
    </w:p>
    <w:p w14:paraId="7DF4740D"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Çalışma esnasında uzun ise saçlar toplanmalıdır. Sallantılı küpe, bilezik takılmamalıdır.</w:t>
      </w:r>
    </w:p>
    <w:p w14:paraId="26151BCC"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Ağızla sıvı çekilmemelidir</w:t>
      </w:r>
      <w:r w:rsidRPr="00C06813">
        <w:rPr>
          <w:rFonts w:ascii="Times New Roman" w:hAnsi="Times New Roman"/>
          <w:u w:val="single"/>
        </w:rPr>
        <w:t>.</w:t>
      </w:r>
      <w:r w:rsidRPr="00C06813">
        <w:rPr>
          <w:rFonts w:ascii="Times New Roman" w:hAnsi="Times New Roman"/>
        </w:rPr>
        <w:t xml:space="preserve"> Bunun yerine puar vb. aletler kullanılmalıdır.</w:t>
      </w:r>
    </w:p>
    <w:p w14:paraId="12D82B5E"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color w:val="000000"/>
        </w:rPr>
        <w:t>Çalışma masasının üzerinde, gerekli malzemeden başka eşya bulundurulmamalıdır.</w:t>
      </w:r>
    </w:p>
    <w:p w14:paraId="0A0468DA"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Kullanıldıktan sonra her bir eşya, alet veya cihaz belirli ve yöntemine uygun biçimde temizlenerek yerlerine kaldırılmalıdır.</w:t>
      </w:r>
    </w:p>
    <w:p w14:paraId="66373368"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color w:val="000000"/>
        </w:rPr>
        <w:t>Çalışma bittikten sonra gaz, elektrik, su ve vakum muslukları kapatılmalı ve iyice kapatılmış olduğundan emin olunmalıdır.</w:t>
      </w:r>
    </w:p>
    <w:p w14:paraId="6EBC102B"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color w:val="000000"/>
        </w:rPr>
        <w:t>Çalışma bittikten sonra kirlenen tüp, pipet, vs. temizlenmek üzere kendilerine ait bölüme kaldırılmalıdır.</w:t>
      </w:r>
    </w:p>
    <w:p w14:paraId="3FC53755"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Çalışma bittikten sonra eller yüzle temas etmeden önce sabunlu su ve gerektiğinde antiseptik bir sıvı ile yıkanmalıdır.</w:t>
      </w:r>
    </w:p>
    <w:p w14:paraId="0BE89F82"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color w:val="000000"/>
        </w:rPr>
        <w:t xml:space="preserve">Laboratuvardan ayrılırken önlük, başlık, maske ve eldiven çıkarılmalıdır. </w:t>
      </w:r>
    </w:p>
    <w:p w14:paraId="763BF9B7"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Yapılan bütün çalışmaların kayıtları doğru ve zamanında tutulmalıdır.</w:t>
      </w:r>
    </w:p>
    <w:p w14:paraId="75E7EA39"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color w:val="000000"/>
        </w:rPr>
        <w:t>Laboratuvardan dışarı herhangi bir tehlikeli kimyasal veya materyal çıkarılmamalıdır.</w:t>
      </w:r>
    </w:p>
    <w:p w14:paraId="5D117994"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lastRenderedPageBreak/>
        <w:t>Kullanılmış kâğıt, pamuk, vs. kendine ait atık kutularına atılmalıdır.</w:t>
      </w:r>
    </w:p>
    <w:p w14:paraId="0271F9C3"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color w:val="000000"/>
        </w:rPr>
        <w:t>Etüv, buzdolabı veya derin dondurucuya vb. konacak tüm malzemenin üzeri okunaklı şekilde yazılmalı veya etiketlenmelidir. Silinmiş olanlar yenilenmelidir.</w:t>
      </w:r>
    </w:p>
    <w:p w14:paraId="69875CE5"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Laboratuvar sorumlusu tarafından tehlike anında kullanılması gerekebilecek cihazların yeri, kullanılışı ve acil müdahalede izlenecek yöntem ya da yöntemler diğer personellere bildirilmelidir.</w:t>
      </w:r>
    </w:p>
    <w:p w14:paraId="090399BC"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 xml:space="preserve">Cam eşyaları kullanırken keskin olmamasına dikkat edilmelidir. Keskin uçlu malzemeler bir bek alevinde kültleştirilebilir. </w:t>
      </w:r>
    </w:p>
    <w:p w14:paraId="6A2D71EC"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Asit dökülen alan baz ile; baz dökülen alan asit ile nötralize edildikten sonra hemen su ile arındırılmalıdır.</w:t>
      </w:r>
    </w:p>
    <w:p w14:paraId="6C786683"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Cilde veya göze kimyasal madde sıçraması halinde duş ve göz banyosu kullanılmalı, bol su ile yıkanmalı ve ilk yardım kuralları çerçevesinde hareket edilmelidir.</w:t>
      </w:r>
    </w:p>
    <w:p w14:paraId="6201B27D"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Zehirli buharlar ve gazlar solunmaktan kaçınılmalıdır. Bu tür maddeler ile derişik asit, baz veya uçucu çözücülerle çalışırken çeker ocak kullanılmalıdır.</w:t>
      </w:r>
    </w:p>
    <w:p w14:paraId="76294BD6"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Alev alıcı sıvılardan, kullanılacak kadarı kapalı olarak deney tezgâhı üzerinde bulundurulmalıdır.</w:t>
      </w:r>
    </w:p>
    <w:p w14:paraId="294F3632"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Analiz düzeneği kurulurken musluğu, gaz vanalarını ve elektrik düğmelerini açmak için düzeneğin üzerinden veya arasından uzanmak zorunda kalınmamasına dikkat edilmelidir.</w:t>
      </w:r>
    </w:p>
    <w:p w14:paraId="5EDEF3E7"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Giysilerin ateş alması durumunda duş ve göz banyosu kullanılmalı ve yardım istenmelidir.</w:t>
      </w:r>
    </w:p>
    <w:p w14:paraId="2A3FD9A8"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Bir yangın çıktığında yapılacak ilk iş yangını haber vermektir. Yangının yayılmasını önlemek için kapı kapatılıp yardım istenmelidir. Acil Durum Talimatına uyulmalıdır.</w:t>
      </w:r>
    </w:p>
    <w:p w14:paraId="6E8DDBB8"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 xml:space="preserve">Asit suya azar </w:t>
      </w:r>
      <w:r w:rsidRPr="00C06813">
        <w:rPr>
          <w:rFonts w:ascii="Times New Roman" w:hAnsi="Times New Roman" w:cs="Times New Roman"/>
        </w:rPr>
        <w:t>azar</w:t>
      </w:r>
      <w:r w:rsidRPr="00C06813">
        <w:rPr>
          <w:rFonts w:ascii="Times New Roman" w:hAnsi="Times New Roman"/>
        </w:rPr>
        <w:t xml:space="preserve"> karıştırılarak ilave edilmelidir. </w:t>
      </w:r>
      <w:r w:rsidRPr="00C06813">
        <w:rPr>
          <w:rFonts w:ascii="Times New Roman" w:hAnsi="Times New Roman"/>
          <w:u w:val="single"/>
        </w:rPr>
        <w:t>Kesinlikle asidin üzerine su ilave edilmemelidir.</w:t>
      </w:r>
    </w:p>
    <w:p w14:paraId="53330BF1"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Laboratuvarda olabilecek kimyasal yanıklar önce bol su ile yıkanmalı, ağrı azalıncaya kadar temiz soğuk su veya dolaylı olarak buz tatbik edilmeli, olayın durumuna göre Acil Durumda Yapılması Gerekenler Yönergesinde belirtilen kurallar çerçevesinde hareket edilmelidir.</w:t>
      </w:r>
    </w:p>
    <w:p w14:paraId="685DFE2E"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Laboratuvarda içinde kimyasal madde olan hiçbir kap etiketsiz olmamalıdır. Kimyasallar bir kaptan ötekine aktarılırken, etiketin değiştirilmesine dikkat edilmelidir.</w:t>
      </w:r>
    </w:p>
    <w:p w14:paraId="78ED1E8C"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Şişesinden alınan kimyasallar kullanılmasa bile hiçbir zaman tekrar orijinal şişesine konulmamalı, orijinal şişe içine pipet daldırılmamalıdır.</w:t>
      </w:r>
    </w:p>
    <w:p w14:paraId="3BB9DA05"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Bir çözeltiyi almak için kullanılan bir pipet farklı bir çözelti şişesine daldırılmamalıdır.</w:t>
      </w:r>
    </w:p>
    <w:p w14:paraId="63EDC0B7"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u w:val="single"/>
        </w:rPr>
        <w:t xml:space="preserve">Kimyasal atıklar daima uygun bir şekilde atık yönergesinde belirtilen kurallara uygun olarak atılmalıdır. </w:t>
      </w:r>
      <w:r w:rsidRPr="00C06813">
        <w:rPr>
          <w:rFonts w:ascii="Times New Roman" w:hAnsi="Times New Roman"/>
        </w:rPr>
        <w:t>Farklı özellikli atıklar aynı şişe içine dökülmemelidir.</w:t>
      </w:r>
    </w:p>
    <w:p w14:paraId="33071096"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Karbon Tetra Klorür, Benzen ve Civa zehirli ve tehlikelidir. Bu sıvılara veya buharlarına uzun süre maruz kalmamaya dikkat edilmelidir. Bu tür sıvılarla çalışılırken ısıl işlem uygulaması sadece çeker ocaklarda gerçekleştirilmelidir.</w:t>
      </w:r>
    </w:p>
    <w:p w14:paraId="311417BF"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Termometre gibi yuvarlanabilecek cam eşyalar laboratuvar tezgâhı üzerine, yere düşmelerini önleyecek biçimde konulmalıdır.</w:t>
      </w:r>
    </w:p>
    <w:p w14:paraId="6ADFB846"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u w:val="single"/>
        </w:rPr>
      </w:pPr>
      <w:r w:rsidRPr="00C06813">
        <w:rPr>
          <w:rFonts w:ascii="Times New Roman" w:hAnsi="Times New Roman"/>
          <w:u w:val="single"/>
        </w:rPr>
        <w:t xml:space="preserve">Kırılan camlar derhal süpürülüp, dikkatle uygun bir yere atılmalıdır. </w:t>
      </w:r>
    </w:p>
    <w:p w14:paraId="23AD56FC"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Laboratuvar binasının çevresinde kirliliğe yol açacak çöp, atık yığınları, su birikintisi ve zararlı canlıların yerleşmesine uygun ortamlar bulunmamalıdır.</w:t>
      </w:r>
    </w:p>
    <w:p w14:paraId="4BEEB745"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Laboratuvarın her bölümünde temizlik işlemleri yazılı talimatlara göre periyodik olarak yapılmalı, kayıtları tutulmalıdır.</w:t>
      </w:r>
    </w:p>
    <w:p w14:paraId="1FF9B4F9"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Laboratuvar havası tozsuz olmalıdır, aralıklarla havalandırılmalıdır.</w:t>
      </w:r>
    </w:p>
    <w:p w14:paraId="49A0854E"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Laboratuvarlar nem, buhar, titreşim, elektromanyetik etkenler ve zararlı canlılar gibi olumsuz etmenlerden korunmalıdır. Çalışma alanları yaklaşık 20ºC sıcaklıkta sabit tutulmalıdır.</w:t>
      </w:r>
    </w:p>
    <w:p w14:paraId="2E26DACD"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Aydınlatma, ısıtma ve havalandırma sistemleri yapılacak analizleri doğrudan veya dolaylı olarak etkilemeyecek nitelikte olmalıdır.</w:t>
      </w:r>
    </w:p>
    <w:p w14:paraId="23A4BFAB"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Boru sistemleri, radyatörler, aydınlatma sistem ve bağlantıları ile diğer servis noktaları kolay temizlenecek biçimde tasarlanmalı, duvarlar, taban ve tavanlar kolay temizlenir ve gerektiğinde dezenfekte edilir özellikte olmalıdır.</w:t>
      </w:r>
    </w:p>
    <w:p w14:paraId="0259CAC2"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Laboratuvarın faaliyet gösterdiği konulara göre ortaya çıkan atıklar doğrudan alıcı ortama verilmemeli, tekniğine ve mevzuata uygun bir biçimde etkisiz hale getirilmelidir.</w:t>
      </w:r>
    </w:p>
    <w:p w14:paraId="49C41A77"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Atılacak katı maddeler çöp kutusuna atılmalıdır. İşi bitmiş, içinde sıvı bulunan beher, erlenmayer, tüp gibi temizlenecek cam kaplar da lavaboya konulmalı, masa üzerinde bırakılmamalıdır.</w:t>
      </w:r>
    </w:p>
    <w:p w14:paraId="03382499"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Civa herhangi bir şekilde dökülürse vakum kaynağı ya da köpük tipi sentetik süngerlerle toplanmalıdır. Eğer toplanmayacak kadar eser miktarda ise üzerine toz kükürt serpilmeli ve bu yolla sülfür haline getirilerek zararsız hale sokulmalıdır.</w:t>
      </w:r>
    </w:p>
    <w:p w14:paraId="1BE0B223"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Termometre kırıklarının Civalı kısımları ya da Civa artıkları asla çöpe ya da lavaboya atılmamalı, toprağa gömülmelidir.</w:t>
      </w:r>
    </w:p>
    <w:p w14:paraId="161EB72C"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Elektrikle uğraşırken eller ve basılan yer kuru olmalı, metal olmamalı, elektrik fişleri kordondan çekilerek çıkarılmamalıdır. Gerektiğinde bazı işlemleri hemen yapabilmek için gerektiği kadar elektrik bilgisi edinilmeli, büyük onarımlar mutlaka ehliyetli teknisyenlere yaptırılmalıdır.</w:t>
      </w:r>
    </w:p>
    <w:p w14:paraId="3365BDEB" w14:textId="77777777" w:rsidR="00BA1325" w:rsidRPr="00C06813" w:rsidRDefault="00BA1325" w:rsidP="00BA1325">
      <w:pPr>
        <w:pStyle w:val="ListeParagraf"/>
        <w:widowControl/>
        <w:numPr>
          <w:ilvl w:val="0"/>
          <w:numId w:val="3"/>
        </w:numPr>
        <w:autoSpaceDE/>
        <w:autoSpaceDN/>
        <w:spacing w:after="200" w:line="360" w:lineRule="auto"/>
        <w:contextualSpacing/>
        <w:jc w:val="both"/>
        <w:rPr>
          <w:rFonts w:ascii="Times New Roman" w:hAnsi="Times New Roman"/>
        </w:rPr>
      </w:pPr>
      <w:r w:rsidRPr="00C06813">
        <w:rPr>
          <w:rFonts w:ascii="Times New Roman" w:hAnsi="Times New Roman"/>
        </w:rPr>
        <w:t>Kesik, yara ve benzeri durumlar varsa bunların üzeri ancak su geçirmez bir bantla kapatıldıktan sonra çalışılmalı, aksi takdirde çalışılmamalı ve son durum sorumluya iletilmelidir.</w:t>
      </w:r>
    </w:p>
    <w:p w14:paraId="68139754" w14:textId="77777777" w:rsidR="00316953" w:rsidRPr="00C06813" w:rsidRDefault="00316953">
      <w:pPr>
        <w:pStyle w:val="KonuBal"/>
      </w:pPr>
    </w:p>
    <w:sectPr w:rsidR="00316953" w:rsidRPr="00C06813"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EEC7" w14:textId="77777777" w:rsidR="00202C4D" w:rsidRDefault="00202C4D" w:rsidP="007746F3">
      <w:r>
        <w:separator/>
      </w:r>
    </w:p>
  </w:endnote>
  <w:endnote w:type="continuationSeparator" w:id="0">
    <w:p w14:paraId="05DC155B" w14:textId="77777777" w:rsidR="00202C4D" w:rsidRDefault="00202C4D"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5FE5" w14:textId="77777777" w:rsidR="005F6BFA" w:rsidRDefault="005F6B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B3012A" w14:paraId="5C27E47A" w14:textId="77777777" w:rsidTr="00C06813">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471D2ED" w14:textId="77777777" w:rsidR="00B3012A" w:rsidRDefault="00B3012A" w:rsidP="00B3012A">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6DB57DF9" w14:textId="77777777" w:rsidR="00B3012A" w:rsidRDefault="00B3012A" w:rsidP="00B3012A">
          <w:pPr>
            <w:tabs>
              <w:tab w:val="center" w:pos="4536"/>
              <w:tab w:val="right" w:pos="9072"/>
            </w:tabs>
            <w:jc w:val="center"/>
            <w:rPr>
              <w:rFonts w:ascii="Times New Roman" w:hAnsi="Times New Roman" w:cs="Times New Roman"/>
              <w:b/>
              <w:color w:val="000000" w:themeColor="text1"/>
              <w:sz w:val="16"/>
              <w:szCs w:val="16"/>
            </w:rPr>
          </w:pPr>
        </w:p>
        <w:p w14:paraId="5879F5B0" w14:textId="630EB4EB" w:rsidR="00B3012A" w:rsidRDefault="00BB5CB8" w:rsidP="004A2A86">
          <w:pPr>
            <w:tabs>
              <w:tab w:val="center" w:pos="4536"/>
              <w:tab w:val="right" w:pos="9072"/>
            </w:tabs>
            <w:jc w:val="center"/>
            <w:rPr>
              <w:rFonts w:ascii="Times New Roman" w:hAnsi="Times New Roman" w:cs="Times New Roman"/>
              <w:b/>
              <w:sz w:val="16"/>
              <w:szCs w:val="16"/>
            </w:rPr>
          </w:pPr>
          <w:r w:rsidRPr="00BB5CB8">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9D3517B" w14:textId="77777777" w:rsidR="00B3012A" w:rsidRDefault="00B3012A" w:rsidP="00B3012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1AE9AEC8" w14:textId="77777777" w:rsidR="00B3012A" w:rsidRDefault="00B3012A" w:rsidP="00B3012A">
          <w:pPr>
            <w:tabs>
              <w:tab w:val="center" w:pos="4536"/>
              <w:tab w:val="right" w:pos="9072"/>
            </w:tabs>
            <w:jc w:val="center"/>
            <w:rPr>
              <w:rFonts w:ascii="Times New Roman" w:hAnsi="Times New Roman" w:cs="Times New Roman"/>
              <w:b/>
              <w:sz w:val="16"/>
              <w:szCs w:val="16"/>
            </w:rPr>
          </w:pPr>
        </w:p>
        <w:p w14:paraId="11E2F2FE" w14:textId="77777777" w:rsidR="00B3012A" w:rsidRDefault="00B3012A" w:rsidP="00B3012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A90C6ED" w14:textId="77777777" w:rsidR="00B3012A" w:rsidRDefault="00B3012A" w:rsidP="00B3012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2F2C44F8" w14:textId="77777777" w:rsidR="00B3012A" w:rsidRDefault="00B3012A" w:rsidP="00B3012A">
          <w:pPr>
            <w:tabs>
              <w:tab w:val="center" w:pos="4536"/>
              <w:tab w:val="right" w:pos="9072"/>
            </w:tabs>
            <w:jc w:val="center"/>
            <w:rPr>
              <w:rFonts w:ascii="Times New Roman" w:hAnsi="Times New Roman" w:cs="Times New Roman"/>
              <w:b/>
              <w:sz w:val="16"/>
              <w:szCs w:val="16"/>
            </w:rPr>
          </w:pPr>
        </w:p>
        <w:p w14:paraId="505EB3E3" w14:textId="77777777" w:rsidR="00B3012A" w:rsidRDefault="00B3012A" w:rsidP="00B3012A">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DDC1" w14:textId="77777777" w:rsidR="005F6BFA" w:rsidRDefault="005F6B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CC6A" w14:textId="77777777" w:rsidR="00202C4D" w:rsidRDefault="00202C4D" w:rsidP="007746F3">
      <w:r>
        <w:separator/>
      </w:r>
    </w:p>
  </w:footnote>
  <w:footnote w:type="continuationSeparator" w:id="0">
    <w:p w14:paraId="5B0DD4E1" w14:textId="77777777" w:rsidR="00202C4D" w:rsidRDefault="00202C4D"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E92D" w14:textId="77777777" w:rsidR="005F6BFA" w:rsidRDefault="005F6BF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1" w:type="dxa"/>
      <w:tblInd w:w="-5" w:type="dxa"/>
      <w:tblLook w:val="04A0" w:firstRow="1" w:lastRow="0" w:firstColumn="1" w:lastColumn="0" w:noHBand="0" w:noVBand="1"/>
    </w:tblPr>
    <w:tblGrid>
      <w:gridCol w:w="1701"/>
      <w:gridCol w:w="1675"/>
      <w:gridCol w:w="3020"/>
      <w:gridCol w:w="1748"/>
      <w:gridCol w:w="1637"/>
    </w:tblGrid>
    <w:tr w:rsidR="00C06813" w:rsidRPr="00B36592" w14:paraId="27AC2E93" w14:textId="77777777" w:rsidTr="00C06813">
      <w:trPr>
        <w:trHeight w:val="690"/>
      </w:trPr>
      <w:tc>
        <w:tcPr>
          <w:tcW w:w="1701" w:type="dxa"/>
          <w:vMerge w:val="restart"/>
          <w:vAlign w:val="center"/>
        </w:tcPr>
        <w:p w14:paraId="2771A10F" w14:textId="77777777" w:rsidR="00C06813" w:rsidRPr="00B36592" w:rsidRDefault="00C06813" w:rsidP="007746F3">
          <w:pPr>
            <w:jc w:val="center"/>
            <w:rPr>
              <w:sz w:val="20"/>
            </w:rPr>
          </w:pPr>
          <w:bookmarkStart w:id="0" w:name="_Hlk150157118"/>
          <w:r w:rsidRPr="00B36592">
            <w:rPr>
              <w:noProof/>
              <w:sz w:val="20"/>
              <w:lang w:eastAsia="tr-TR"/>
            </w:rPr>
            <w:drawing>
              <wp:anchor distT="0" distB="0" distL="114300" distR="114300" simplePos="0" relativeHeight="251661824" behindDoc="0" locked="0" layoutInCell="1" allowOverlap="1" wp14:anchorId="1FF94B92" wp14:editId="30C155C9">
                <wp:simplePos x="0" y="0"/>
                <wp:positionH relativeFrom="column">
                  <wp:posOffset>-17780</wp:posOffset>
                </wp:positionH>
                <wp:positionV relativeFrom="paragraph">
                  <wp:posOffset>6985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gridSpan w:val="4"/>
          <w:vAlign w:val="center"/>
        </w:tcPr>
        <w:p w14:paraId="4D3C91A4" w14:textId="192A544D" w:rsidR="00C06813" w:rsidRPr="00AC420E" w:rsidRDefault="00C06813" w:rsidP="005B2C99">
          <w:pPr>
            <w:jc w:val="center"/>
            <w:rPr>
              <w:rFonts w:ascii="Times New Roman" w:hAnsi="Times New Roman" w:cs="Times New Roman"/>
              <w:sz w:val="20"/>
            </w:rPr>
          </w:pPr>
          <w:r w:rsidRPr="00B3012A">
            <w:rPr>
              <w:rFonts w:ascii="Times New Roman" w:hAnsi="Times New Roman"/>
              <w:noProof/>
              <w:lang w:eastAsia="tr-TR"/>
            </w:rPr>
            <w:t>LABORATUVAR GİRİŞ VE KULLANMA TALİMATI</w:t>
          </w:r>
        </w:p>
      </w:tc>
    </w:tr>
    <w:tr w:rsidR="007746F3" w:rsidRPr="00B36592" w14:paraId="6F2E117F" w14:textId="77777777" w:rsidTr="00C06813">
      <w:trPr>
        <w:trHeight w:hRule="exact" w:val="275"/>
      </w:trPr>
      <w:tc>
        <w:tcPr>
          <w:tcW w:w="1701" w:type="dxa"/>
          <w:vMerge/>
          <w:vAlign w:val="center"/>
        </w:tcPr>
        <w:p w14:paraId="138389C2" w14:textId="77777777" w:rsidR="007746F3" w:rsidRPr="00B36592" w:rsidRDefault="007746F3" w:rsidP="007746F3">
          <w:pPr>
            <w:rPr>
              <w:sz w:val="20"/>
            </w:rPr>
          </w:pPr>
        </w:p>
      </w:tc>
      <w:tc>
        <w:tcPr>
          <w:tcW w:w="1675"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20" w:type="dxa"/>
          <w:vAlign w:val="center"/>
        </w:tcPr>
        <w:p w14:paraId="528E9E3C" w14:textId="2AF619CB" w:rsidR="007746F3" w:rsidRPr="00837053" w:rsidRDefault="001E13B9" w:rsidP="007746F3">
          <w:pPr>
            <w:rPr>
              <w:rFonts w:ascii="Times New Roman" w:hAnsi="Times New Roman" w:cs="Times New Roman"/>
            </w:rPr>
          </w:pPr>
          <w:r>
            <w:rPr>
              <w:rFonts w:ascii="Times New Roman" w:hAnsi="Times New Roman" w:cs="Times New Roman"/>
            </w:rPr>
            <w:t>TLM-</w:t>
          </w:r>
          <w:r w:rsidR="004A2A86">
            <w:rPr>
              <w:rFonts w:ascii="Times New Roman" w:hAnsi="Times New Roman" w:cs="Times New Roman"/>
            </w:rPr>
            <w:t>98</w:t>
          </w:r>
        </w:p>
      </w:tc>
      <w:tc>
        <w:tcPr>
          <w:tcW w:w="1748"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637"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5F6BFA" w:rsidRPr="00B36592" w14:paraId="5DED7287" w14:textId="77777777" w:rsidTr="00C06813">
      <w:trPr>
        <w:trHeight w:hRule="exact" w:val="263"/>
      </w:trPr>
      <w:tc>
        <w:tcPr>
          <w:tcW w:w="1701" w:type="dxa"/>
          <w:vMerge/>
          <w:vAlign w:val="center"/>
        </w:tcPr>
        <w:p w14:paraId="55622155" w14:textId="77777777" w:rsidR="005F6BFA" w:rsidRPr="00B36592" w:rsidRDefault="005F6BFA" w:rsidP="005F6BFA">
          <w:pPr>
            <w:rPr>
              <w:sz w:val="20"/>
            </w:rPr>
          </w:pPr>
        </w:p>
      </w:tc>
      <w:tc>
        <w:tcPr>
          <w:tcW w:w="1675" w:type="dxa"/>
          <w:vAlign w:val="center"/>
        </w:tcPr>
        <w:p w14:paraId="30A59ECF" w14:textId="77777777" w:rsidR="005F6BFA" w:rsidRPr="00837053" w:rsidRDefault="005F6BFA" w:rsidP="005F6BFA">
          <w:pPr>
            <w:rPr>
              <w:rFonts w:ascii="Times New Roman" w:hAnsi="Times New Roman" w:cs="Times New Roman"/>
            </w:rPr>
          </w:pPr>
          <w:r w:rsidRPr="00837053">
            <w:rPr>
              <w:rFonts w:ascii="Times New Roman" w:hAnsi="Times New Roman" w:cs="Times New Roman"/>
            </w:rPr>
            <w:t>İlk Yayın Tarihi</w:t>
          </w:r>
        </w:p>
      </w:tc>
      <w:tc>
        <w:tcPr>
          <w:tcW w:w="3020" w:type="dxa"/>
          <w:vAlign w:val="center"/>
        </w:tcPr>
        <w:p w14:paraId="5CCA3860" w14:textId="2B3CACB3" w:rsidR="005F6BFA" w:rsidRPr="00837053" w:rsidRDefault="005F6BFA" w:rsidP="005F6BFA">
          <w:pPr>
            <w:rPr>
              <w:rFonts w:ascii="Times New Roman" w:hAnsi="Times New Roman" w:cs="Times New Roman"/>
            </w:rPr>
          </w:pPr>
          <w:r w:rsidRPr="00857CA1">
            <w:rPr>
              <w:rFonts w:ascii="Times New Roman" w:hAnsi="Times New Roman" w:cs="Times New Roman"/>
            </w:rPr>
            <w:t>24.01.2025</w:t>
          </w:r>
        </w:p>
      </w:tc>
      <w:tc>
        <w:tcPr>
          <w:tcW w:w="1748" w:type="dxa"/>
          <w:vAlign w:val="center"/>
        </w:tcPr>
        <w:p w14:paraId="54E19829" w14:textId="77777777" w:rsidR="005F6BFA" w:rsidRPr="00837053" w:rsidRDefault="005F6BFA" w:rsidP="005F6BFA">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637" w:type="dxa"/>
          <w:vAlign w:val="center"/>
        </w:tcPr>
        <w:p w14:paraId="6D973C33" w14:textId="77777777" w:rsidR="005F6BFA" w:rsidRPr="00837053" w:rsidRDefault="005F6BFA" w:rsidP="005F6BFA">
          <w:pPr>
            <w:rPr>
              <w:rFonts w:ascii="Times New Roman" w:hAnsi="Times New Roman" w:cs="Times New Roman"/>
            </w:rPr>
          </w:pPr>
          <w:r w:rsidRPr="00837053">
            <w:rPr>
              <w:rFonts w:ascii="Times New Roman" w:hAnsi="Times New Roman" w:cs="Times New Roman"/>
            </w:rPr>
            <w:t>-</w:t>
          </w:r>
        </w:p>
      </w:tc>
    </w:tr>
    <w:tr w:rsidR="005F6BFA" w:rsidRPr="00B36592" w14:paraId="77D776E6" w14:textId="77777777" w:rsidTr="00C06813">
      <w:trPr>
        <w:trHeight w:hRule="exact" w:val="263"/>
      </w:trPr>
      <w:tc>
        <w:tcPr>
          <w:tcW w:w="1701" w:type="dxa"/>
          <w:vMerge/>
          <w:vAlign w:val="center"/>
        </w:tcPr>
        <w:p w14:paraId="794F8493" w14:textId="77777777" w:rsidR="005F6BFA" w:rsidRPr="00B36592" w:rsidRDefault="005F6BFA" w:rsidP="005F6BFA">
          <w:pPr>
            <w:rPr>
              <w:sz w:val="20"/>
            </w:rPr>
          </w:pPr>
        </w:p>
      </w:tc>
      <w:tc>
        <w:tcPr>
          <w:tcW w:w="4695" w:type="dxa"/>
          <w:gridSpan w:val="2"/>
          <w:vAlign w:val="center"/>
        </w:tcPr>
        <w:p w14:paraId="7A9DEBF1" w14:textId="77777777" w:rsidR="005F6BFA" w:rsidRPr="00837053" w:rsidRDefault="005F6BFA" w:rsidP="005F6BFA">
          <w:pPr>
            <w:keepNext/>
            <w:ind w:left="-142" w:right="-219"/>
            <w:outlineLvl w:val="0"/>
            <w:rPr>
              <w:rFonts w:ascii="Times New Roman" w:hAnsi="Times New Roman" w:cs="Times New Roman"/>
            </w:rPr>
          </w:pPr>
        </w:p>
      </w:tc>
      <w:tc>
        <w:tcPr>
          <w:tcW w:w="1748" w:type="dxa"/>
          <w:vAlign w:val="center"/>
        </w:tcPr>
        <w:p w14:paraId="1771762A" w14:textId="77777777" w:rsidR="005F6BFA" w:rsidRPr="00837053" w:rsidRDefault="005F6BFA" w:rsidP="005F6BFA">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637" w:type="dxa"/>
          <w:vAlign w:val="center"/>
        </w:tcPr>
        <w:sdt>
          <w:sdtPr>
            <w:id w:val="527216409"/>
            <w:docPartObj>
              <w:docPartGallery w:val="Page Numbers (Bottom of Page)"/>
              <w:docPartUnique/>
            </w:docPartObj>
          </w:sdtPr>
          <w:sdtContent>
            <w:p w14:paraId="12B7091F" w14:textId="0E079FA9" w:rsidR="005F6BFA" w:rsidRDefault="005F6BFA" w:rsidP="005F6BFA">
              <w:pPr>
                <w:pStyle w:val="AltBilgi"/>
              </w:pPr>
              <w:r>
                <w:t>4</w:t>
              </w:r>
            </w:p>
          </w:sdtContent>
        </w:sdt>
        <w:p w14:paraId="76CED53D" w14:textId="21775F6D" w:rsidR="005F6BFA" w:rsidRPr="00837053" w:rsidRDefault="005F6BFA" w:rsidP="005F6BFA">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FE83" w14:textId="77777777" w:rsidR="005F6BFA" w:rsidRDefault="005F6B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73619"/>
    <w:multiLevelType w:val="hybridMultilevel"/>
    <w:tmpl w:val="638C91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399406762">
    <w:abstractNumId w:val="1"/>
  </w:num>
  <w:num w:numId="2" w16cid:durableId="505637220">
    <w:abstractNumId w:val="2"/>
  </w:num>
  <w:num w:numId="3" w16cid:durableId="91612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1C0EF4"/>
    <w:rsid w:val="001E13B9"/>
    <w:rsid w:val="001F209C"/>
    <w:rsid w:val="00202C4D"/>
    <w:rsid w:val="00216647"/>
    <w:rsid w:val="00216B3D"/>
    <w:rsid w:val="002C3793"/>
    <w:rsid w:val="00316953"/>
    <w:rsid w:val="003F0446"/>
    <w:rsid w:val="00453B44"/>
    <w:rsid w:val="004A2A86"/>
    <w:rsid w:val="005457E7"/>
    <w:rsid w:val="005A2DBD"/>
    <w:rsid w:val="005B2C99"/>
    <w:rsid w:val="005C6DBF"/>
    <w:rsid w:val="005D3B33"/>
    <w:rsid w:val="005D749F"/>
    <w:rsid w:val="005F3EF5"/>
    <w:rsid w:val="005F6BFA"/>
    <w:rsid w:val="006756EB"/>
    <w:rsid w:val="006931FF"/>
    <w:rsid w:val="007746F3"/>
    <w:rsid w:val="00794F1C"/>
    <w:rsid w:val="007A6443"/>
    <w:rsid w:val="007C537B"/>
    <w:rsid w:val="008945E6"/>
    <w:rsid w:val="008D6178"/>
    <w:rsid w:val="00936FFD"/>
    <w:rsid w:val="0094093E"/>
    <w:rsid w:val="00976948"/>
    <w:rsid w:val="009B2121"/>
    <w:rsid w:val="00AC420E"/>
    <w:rsid w:val="00AD2629"/>
    <w:rsid w:val="00AF1A3E"/>
    <w:rsid w:val="00B00785"/>
    <w:rsid w:val="00B27D70"/>
    <w:rsid w:val="00B3012A"/>
    <w:rsid w:val="00B33F63"/>
    <w:rsid w:val="00B43330"/>
    <w:rsid w:val="00BA1325"/>
    <w:rsid w:val="00BB5CB8"/>
    <w:rsid w:val="00C06813"/>
    <w:rsid w:val="00DF3A90"/>
    <w:rsid w:val="00E62BED"/>
    <w:rsid w:val="00E8413F"/>
    <w:rsid w:val="00FB55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AB4575D8-6A88-4C03-9825-8CC3541A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1023</Words>
  <Characters>5836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11</cp:revision>
  <dcterms:created xsi:type="dcterms:W3CDTF">2024-04-22T11:16:00Z</dcterms:created>
  <dcterms:modified xsi:type="dcterms:W3CDTF">2025-02-13T11:22:00Z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