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B0E0" w14:textId="77777777" w:rsidR="00ED4AD9" w:rsidRDefault="00ED4AD9" w:rsidP="005971EC">
      <w:pPr>
        <w:spacing w:line="360" w:lineRule="auto"/>
        <w:jc w:val="both"/>
        <w:rPr>
          <w:b/>
          <w:bCs/>
        </w:rPr>
      </w:pPr>
    </w:p>
    <w:p w14:paraId="38C010D8" w14:textId="7B907F54"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AMAÇ/PRENSİP</w:t>
      </w:r>
    </w:p>
    <w:p w14:paraId="3B5306E2" w14:textId="77777777" w:rsidR="005971EC" w:rsidRPr="00712433" w:rsidRDefault="005971EC" w:rsidP="005971EC">
      <w:pPr>
        <w:pStyle w:val="Default"/>
        <w:spacing w:line="360" w:lineRule="auto"/>
        <w:ind w:firstLine="567"/>
        <w:jc w:val="both"/>
        <w:rPr>
          <w:sz w:val="22"/>
          <w:szCs w:val="22"/>
        </w:rPr>
      </w:pPr>
      <w:r w:rsidRPr="00712433">
        <w:rPr>
          <w:sz w:val="22"/>
          <w:szCs w:val="22"/>
        </w:rPr>
        <w:t>Yöntemin amacı atık suda, havuz suyunda, şebeke suyu ve içme suyu örneklerinde Nikel elementi miktarını ICP-MS cihazı ile tespit etmektir. Analizi yapılacak numune, cihazın çalışma prensibine uygun olarak ppb (10</w:t>
      </w:r>
      <w:r w:rsidRPr="00712433">
        <w:rPr>
          <w:sz w:val="22"/>
          <w:szCs w:val="22"/>
          <w:vertAlign w:val="superscript"/>
        </w:rPr>
        <w:t>-12</w:t>
      </w:r>
      <w:r w:rsidRPr="00712433">
        <w:rPr>
          <w:sz w:val="22"/>
          <w:szCs w:val="22"/>
        </w:rPr>
        <w:t>) değerine indirgenir, bir solüsyon halinde ve sisleştirici aracılığıyla (genellikle Argon) ICP-MS sistemine verilir. Plasma sayesinde moleküler bağların kırılması ve atomların iyonlaşmasının ardından, iyonlar örnekleme ve ikinci aşama süzme (skimmer) konileri ara yüzeyinden geçerek vakuma alınır ve burada birleştirilmiş mercek sistemi iyonları quadrapol kütle spektrometresine odaklar. Burada iyonlar kütlelerine ayrılıp taramalı elektron çoğaltıcısı ile analizi yapılır.</w:t>
      </w:r>
    </w:p>
    <w:p w14:paraId="7B3BF2D3" w14:textId="77777777" w:rsidR="005971EC" w:rsidRPr="00712433" w:rsidRDefault="005971EC" w:rsidP="005971EC">
      <w:pPr>
        <w:pStyle w:val="Default"/>
        <w:spacing w:line="360" w:lineRule="auto"/>
        <w:ind w:left="709"/>
        <w:jc w:val="both"/>
        <w:rPr>
          <w:sz w:val="22"/>
          <w:szCs w:val="22"/>
        </w:rPr>
      </w:pPr>
    </w:p>
    <w:p w14:paraId="45DF89FB"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KAPSAM</w:t>
      </w:r>
    </w:p>
    <w:p w14:paraId="2BBD2971" w14:textId="77777777" w:rsidR="005971EC" w:rsidRPr="00712433" w:rsidRDefault="005971EC" w:rsidP="005971EC">
      <w:pPr>
        <w:pStyle w:val="Default"/>
        <w:spacing w:line="360" w:lineRule="auto"/>
        <w:ind w:firstLine="567"/>
        <w:jc w:val="both"/>
        <w:rPr>
          <w:sz w:val="22"/>
          <w:szCs w:val="22"/>
        </w:rPr>
      </w:pPr>
      <w:r w:rsidRPr="00712433">
        <w:rPr>
          <w:sz w:val="22"/>
          <w:szCs w:val="22"/>
        </w:rPr>
        <w:t xml:space="preserve">Bu yöntem, çeşitli su numunelerinde, Nikel elementinin ICP-MS cihazında miktar tayinini kapsar. </w:t>
      </w:r>
    </w:p>
    <w:p w14:paraId="12EBA3ED" w14:textId="77777777" w:rsidR="005971EC" w:rsidRPr="00712433" w:rsidRDefault="005971EC" w:rsidP="005971EC">
      <w:pPr>
        <w:pStyle w:val="Default"/>
        <w:spacing w:line="360" w:lineRule="auto"/>
        <w:ind w:left="1134"/>
        <w:jc w:val="both"/>
        <w:rPr>
          <w:sz w:val="22"/>
          <w:szCs w:val="22"/>
        </w:rPr>
      </w:pPr>
    </w:p>
    <w:p w14:paraId="74FC86B3"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 xml:space="preserve">KULLANILAN KİMYASAL MADDELER </w:t>
      </w:r>
    </w:p>
    <w:p w14:paraId="16C8656F"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Argon (%99,999 saflıkta)</w:t>
      </w:r>
    </w:p>
    <w:p w14:paraId="20E81616"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Helyum (%99,999 saflıkta)</w:t>
      </w:r>
    </w:p>
    <w:p w14:paraId="02A41DC4"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Hidrojen (%99,999 saflıkta)</w:t>
      </w:r>
    </w:p>
    <w:p w14:paraId="6D169E86" w14:textId="77777777" w:rsidR="005971EC" w:rsidRPr="00712433" w:rsidRDefault="005971EC" w:rsidP="005971EC">
      <w:pPr>
        <w:pStyle w:val="GvdeMetniGirintisi2"/>
        <w:numPr>
          <w:ilvl w:val="0"/>
          <w:numId w:val="4"/>
        </w:numPr>
        <w:spacing w:after="0" w:line="360" w:lineRule="auto"/>
        <w:jc w:val="both"/>
        <w:rPr>
          <w:rFonts w:ascii="Times New Roman" w:hAnsi="Times New Roman"/>
        </w:rPr>
      </w:pPr>
      <w:r w:rsidRPr="00712433">
        <w:rPr>
          <w:rFonts w:ascii="Times New Roman" w:hAnsi="Times New Roman"/>
        </w:rPr>
        <w:t>Supra-pure Nitrik Asit (HNO</w:t>
      </w:r>
      <w:r w:rsidRPr="00712433">
        <w:rPr>
          <w:rFonts w:ascii="Times New Roman" w:hAnsi="Times New Roman"/>
          <w:vertAlign w:val="subscript"/>
        </w:rPr>
        <w:t>3</w:t>
      </w:r>
      <w:r w:rsidRPr="00712433">
        <w:rPr>
          <w:rFonts w:ascii="Times New Roman" w:hAnsi="Times New Roman"/>
        </w:rPr>
        <w:t>)</w:t>
      </w:r>
    </w:p>
    <w:p w14:paraId="17CC6EF9"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Tunning Çözeltisi (10 ppm)</w:t>
      </w:r>
    </w:p>
    <w:p w14:paraId="18CA0D6B"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Internal standart (100 ppm)</w:t>
      </w:r>
    </w:p>
    <w:p w14:paraId="1A7175E0" w14:textId="77777777" w:rsidR="005971EC" w:rsidRPr="00712433" w:rsidRDefault="005971EC" w:rsidP="005971EC">
      <w:pPr>
        <w:pStyle w:val="GvdeMetniGirintisi2"/>
        <w:numPr>
          <w:ilvl w:val="0"/>
          <w:numId w:val="4"/>
        </w:numPr>
        <w:spacing w:after="0" w:line="360" w:lineRule="auto"/>
        <w:jc w:val="both"/>
        <w:rPr>
          <w:rFonts w:ascii="Times New Roman" w:hAnsi="Times New Roman"/>
        </w:rPr>
      </w:pPr>
      <w:r w:rsidRPr="00712433">
        <w:rPr>
          <w:rFonts w:ascii="Times New Roman" w:hAnsi="Times New Roman"/>
        </w:rPr>
        <w:t>Sertifikalı Nikel standardı</w:t>
      </w:r>
    </w:p>
    <w:p w14:paraId="0DC3C81A" w14:textId="77777777" w:rsidR="005971EC" w:rsidRPr="00712433" w:rsidRDefault="005971EC" w:rsidP="005971EC">
      <w:pPr>
        <w:pStyle w:val="Default"/>
        <w:spacing w:line="360" w:lineRule="auto"/>
        <w:ind w:left="1134"/>
        <w:jc w:val="both"/>
        <w:rPr>
          <w:sz w:val="22"/>
          <w:szCs w:val="22"/>
        </w:rPr>
      </w:pPr>
    </w:p>
    <w:p w14:paraId="2AE049FD"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KULLANILAN CİHAZ(LAR) / EKİPMAN(LAR)</w:t>
      </w:r>
    </w:p>
    <w:p w14:paraId="79833FC1"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Analitik Jena marka ICP-MS cihazı</w:t>
      </w:r>
    </w:p>
    <w:p w14:paraId="3B31CEF1"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Mikrodalga Fırın</w:t>
      </w:r>
    </w:p>
    <w:p w14:paraId="00DCC8E6"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Numune Kabı (50 ml)</w:t>
      </w:r>
    </w:p>
    <w:p w14:paraId="3113CEC3" w14:textId="77777777" w:rsidR="005971EC" w:rsidRPr="00712433" w:rsidRDefault="005971EC" w:rsidP="005971EC">
      <w:pPr>
        <w:pStyle w:val="ListeParagraf"/>
        <w:widowControl/>
        <w:numPr>
          <w:ilvl w:val="0"/>
          <w:numId w:val="4"/>
        </w:numPr>
        <w:autoSpaceDE/>
        <w:autoSpaceDN/>
        <w:spacing w:after="200" w:line="360" w:lineRule="auto"/>
        <w:contextualSpacing/>
        <w:jc w:val="both"/>
      </w:pPr>
      <w:r w:rsidRPr="00712433">
        <w:rPr>
          <w:rFonts w:ascii="Times New Roman" w:hAnsi="Times New Roman"/>
          <w:color w:val="000000"/>
        </w:rPr>
        <w:t>Gaz Tüpleri (%99,999 saflıkta)</w:t>
      </w:r>
    </w:p>
    <w:p w14:paraId="7AE72D26" w14:textId="77777777" w:rsidR="00712433" w:rsidRPr="00712433" w:rsidRDefault="005971EC" w:rsidP="00712433">
      <w:pPr>
        <w:pStyle w:val="ListeParagraf"/>
        <w:widowControl/>
        <w:numPr>
          <w:ilvl w:val="0"/>
          <w:numId w:val="4"/>
        </w:numPr>
        <w:autoSpaceDE/>
        <w:autoSpaceDN/>
        <w:spacing w:after="200" w:line="360" w:lineRule="auto"/>
        <w:contextualSpacing/>
        <w:jc w:val="both"/>
      </w:pPr>
      <w:r w:rsidRPr="00712433">
        <w:t>Chiller (soğutucu ünite)</w:t>
      </w:r>
    </w:p>
    <w:p w14:paraId="73F62E02" w14:textId="77777777" w:rsidR="00712433" w:rsidRPr="00712433" w:rsidRDefault="005971EC" w:rsidP="00712433">
      <w:pPr>
        <w:pStyle w:val="ListeParagraf"/>
        <w:widowControl/>
        <w:numPr>
          <w:ilvl w:val="0"/>
          <w:numId w:val="4"/>
        </w:numPr>
        <w:autoSpaceDE/>
        <w:autoSpaceDN/>
        <w:spacing w:after="200" w:line="360" w:lineRule="auto"/>
        <w:contextualSpacing/>
        <w:jc w:val="both"/>
      </w:pPr>
      <w:r w:rsidRPr="00712433">
        <w:t>Analitik Terazi, 0,1mg hassasiyette</w:t>
      </w:r>
    </w:p>
    <w:p w14:paraId="5DC1FB4F" w14:textId="3CC53104" w:rsidR="005971EC" w:rsidRPr="00712433" w:rsidRDefault="005971EC" w:rsidP="00712433">
      <w:pPr>
        <w:pStyle w:val="ListeParagraf"/>
        <w:widowControl/>
        <w:numPr>
          <w:ilvl w:val="0"/>
          <w:numId w:val="4"/>
        </w:numPr>
        <w:autoSpaceDE/>
        <w:autoSpaceDN/>
        <w:spacing w:after="200" w:line="360" w:lineRule="auto"/>
        <w:contextualSpacing/>
        <w:jc w:val="both"/>
      </w:pPr>
      <w:r w:rsidRPr="00712433">
        <w:t>Polipropilen balon jojeler, 25 mL’lik ve 50 mL’lik.</w:t>
      </w:r>
    </w:p>
    <w:p w14:paraId="75D2EA7A" w14:textId="77777777" w:rsidR="005971EC" w:rsidRPr="00712433" w:rsidRDefault="005971EC" w:rsidP="005971EC">
      <w:pPr>
        <w:pStyle w:val="GvdeMetniGirintisi2"/>
        <w:numPr>
          <w:ilvl w:val="0"/>
          <w:numId w:val="4"/>
        </w:numPr>
        <w:spacing w:after="0" w:line="360" w:lineRule="auto"/>
        <w:jc w:val="both"/>
        <w:rPr>
          <w:rFonts w:ascii="Times New Roman" w:hAnsi="Times New Roman"/>
        </w:rPr>
      </w:pPr>
      <w:bookmarkStart w:id="0" w:name="_Hlk31815830"/>
      <w:r w:rsidRPr="00712433">
        <w:rPr>
          <w:rFonts w:ascii="Times New Roman" w:hAnsi="Times New Roman"/>
        </w:rPr>
        <w:lastRenderedPageBreak/>
        <w:t>Ölçülü pipetler (hacim ayarlamalı tek kullanımlık polipropilen uçlu kalibrasyonlu otomatik mikro pipetler)</w:t>
      </w:r>
    </w:p>
    <w:p w14:paraId="377A2FED" w14:textId="77777777" w:rsidR="005971EC" w:rsidRPr="00712433" w:rsidRDefault="005971EC" w:rsidP="005971EC">
      <w:pPr>
        <w:pStyle w:val="GvdeMetniGirintisi2"/>
        <w:spacing w:after="0" w:line="360" w:lineRule="auto"/>
        <w:ind w:left="720"/>
        <w:jc w:val="both"/>
        <w:rPr>
          <w:rFonts w:ascii="Times New Roman" w:hAnsi="Times New Roman"/>
        </w:rPr>
      </w:pPr>
    </w:p>
    <w:bookmarkEnd w:id="0"/>
    <w:p w14:paraId="658D5643"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GÜVENLİK / DİKKAT EDİLECEK NOKTALAR</w:t>
      </w:r>
    </w:p>
    <w:p w14:paraId="7A3326E5"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ICP-MS cihazı tüpler, fan ve soğutucu ünite açılmadan çalıştırılmaz.</w:t>
      </w:r>
    </w:p>
    <w:p w14:paraId="1768283D"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Argon temel ve en çok kullanılan gazdır. 1 tüpün 16 saat çalışma ömrü vardır. Bu nedenle yedekli çalışılmalıdır.</w:t>
      </w:r>
    </w:p>
    <w:p w14:paraId="11DC682E"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Çözeltiler her bir analiz serisi için taze olarak hazırlanmalıdır.</w:t>
      </w:r>
    </w:p>
    <w:p w14:paraId="4F957325"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Balon jojeler yerine tek kullanımlık, kalibrasyonu yapılmamış balonlar da kullanılabilir. Bu durumda, numunelerin seyreltilmesi ve seyreltme değerlerinin ifade edilmesinde kütle/hacim kesri yerine kütle/kütle kesri kullanılmalıdır.</w:t>
      </w:r>
    </w:p>
    <w:p w14:paraId="336F2264"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 xml:space="preserve">Analiz bitiminde numune sisteminin temizliği için 1-3 dakika ortamdan %0,1 lik Nitrik asitli blankçözeltisi veya matriks olarak ne kullanılmışsa (Ksilen veya Kerosen) o çözelti geçirilir. </w:t>
      </w:r>
    </w:p>
    <w:p w14:paraId="498728E6"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Çözeltilerin kararsız olduğu dikkate alınarak, kalibrasyon çözeltilerinin ölçme işleminden hemen önce hazırlanması gereklidir.</w:t>
      </w:r>
    </w:p>
    <w:p w14:paraId="6138DFD6"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Numuneye geçmeden önce ve her numune ölçümünden sonra sistemden çözücü geçirilmelidir.</w:t>
      </w:r>
    </w:p>
    <w:p w14:paraId="5DEFFE3D" w14:textId="77777777" w:rsidR="005971EC" w:rsidRPr="00712433" w:rsidRDefault="005971EC" w:rsidP="005971EC">
      <w:pPr>
        <w:pStyle w:val="Default"/>
        <w:numPr>
          <w:ilvl w:val="0"/>
          <w:numId w:val="4"/>
        </w:numPr>
        <w:spacing w:line="360" w:lineRule="auto"/>
        <w:jc w:val="both"/>
        <w:rPr>
          <w:sz w:val="22"/>
          <w:szCs w:val="22"/>
        </w:rPr>
      </w:pPr>
      <w:r w:rsidRPr="00712433">
        <w:rPr>
          <w:sz w:val="22"/>
          <w:szCs w:val="22"/>
        </w:rPr>
        <w:t>Tekrarlar en az 3 seçilmelidir.</w:t>
      </w:r>
    </w:p>
    <w:p w14:paraId="5AF960C5" w14:textId="77777777" w:rsidR="005971EC" w:rsidRPr="00712433" w:rsidRDefault="005971EC" w:rsidP="005971EC">
      <w:pPr>
        <w:pStyle w:val="Default"/>
        <w:spacing w:line="360" w:lineRule="auto"/>
        <w:ind w:left="1134"/>
        <w:jc w:val="both"/>
        <w:rPr>
          <w:sz w:val="22"/>
          <w:szCs w:val="22"/>
        </w:rPr>
      </w:pPr>
    </w:p>
    <w:p w14:paraId="2C025403"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ÖN HAZIRLIKLAR</w:t>
      </w:r>
    </w:p>
    <w:p w14:paraId="705DC6E3" w14:textId="77777777" w:rsidR="005971EC" w:rsidRPr="00712433" w:rsidRDefault="005971EC" w:rsidP="005971EC">
      <w:pPr>
        <w:pStyle w:val="Default"/>
        <w:spacing w:line="360" w:lineRule="auto"/>
        <w:ind w:firstLine="567"/>
        <w:jc w:val="both"/>
        <w:rPr>
          <w:sz w:val="22"/>
          <w:szCs w:val="22"/>
        </w:rPr>
      </w:pPr>
      <w:r w:rsidRPr="00712433">
        <w:rPr>
          <w:sz w:val="22"/>
          <w:szCs w:val="22"/>
        </w:rPr>
        <w:t>Analize başlamadan cihazın vakum ünitesi en az 48 saat önceden açılıp bekletilir, ardından plazma ateşlenir ve şartlanması için en az 20 dakika sonra cihazın ölçüm için stabil hale gelmesi sağlanır. Analize başlamadan önce intensity kontrolü ve optimizasyon yapılır. Yeni metot oluşturulur ya da var olan metotta gerekli düzeltmeler yapılır.</w:t>
      </w:r>
    </w:p>
    <w:p w14:paraId="75744513" w14:textId="6842A3EA" w:rsidR="005971EC" w:rsidRPr="00712433" w:rsidRDefault="005971EC" w:rsidP="00712433">
      <w:pPr>
        <w:pStyle w:val="Default"/>
        <w:spacing w:line="360" w:lineRule="auto"/>
        <w:jc w:val="both"/>
        <w:rPr>
          <w:sz w:val="22"/>
          <w:szCs w:val="22"/>
        </w:rPr>
      </w:pPr>
    </w:p>
    <w:p w14:paraId="088AE790" w14:textId="77777777" w:rsidR="005971EC" w:rsidRPr="00712433" w:rsidRDefault="005971EC" w:rsidP="005971EC">
      <w:pPr>
        <w:pStyle w:val="Default"/>
        <w:spacing w:line="360" w:lineRule="auto"/>
        <w:ind w:firstLine="567"/>
        <w:jc w:val="both"/>
        <w:rPr>
          <w:b/>
          <w:sz w:val="22"/>
          <w:szCs w:val="22"/>
        </w:rPr>
      </w:pPr>
      <w:r w:rsidRPr="00712433">
        <w:rPr>
          <w:b/>
          <w:sz w:val="22"/>
          <w:szCs w:val="22"/>
        </w:rPr>
        <w:t>Intensity Kontrolü:</w:t>
      </w:r>
    </w:p>
    <w:p w14:paraId="53E223F4" w14:textId="77777777" w:rsidR="005971EC" w:rsidRPr="00712433" w:rsidRDefault="005971EC" w:rsidP="005971EC">
      <w:pPr>
        <w:pStyle w:val="Default"/>
        <w:spacing w:line="360" w:lineRule="auto"/>
        <w:ind w:firstLine="567"/>
        <w:jc w:val="both"/>
        <w:rPr>
          <w:sz w:val="22"/>
          <w:szCs w:val="22"/>
        </w:rPr>
      </w:pPr>
      <w:r w:rsidRPr="00712433">
        <w:rPr>
          <w:sz w:val="22"/>
          <w:szCs w:val="22"/>
        </w:rPr>
        <w:t>Ölçüme başlamadan önce Tunne çözeltisi ile intensity kontrolü yapılır. 10 ppm stok Tunne çözeltisiinden 1 ppblik çözelti hazırlanır ve plazma ateşlendikten sonra cihaza verilir. Instrument setup sekmesinden Plasma align adımında girilerek, time modunda start edilir ölçülen intensity değerleri takip edilir. Değerler aşağıdaki şekilde olmalıdır:</w:t>
      </w:r>
    </w:p>
    <w:p w14:paraId="258A1AAA" w14:textId="77777777" w:rsidR="005971EC" w:rsidRPr="00712433" w:rsidRDefault="005971EC" w:rsidP="005971EC">
      <w:pPr>
        <w:pStyle w:val="Default"/>
        <w:spacing w:line="360" w:lineRule="auto"/>
        <w:ind w:left="1134"/>
        <w:jc w:val="both"/>
        <w:rPr>
          <w:sz w:val="22"/>
          <w:szCs w:val="22"/>
        </w:rPr>
      </w:pPr>
      <w:r w:rsidRPr="00712433">
        <w:rPr>
          <w:sz w:val="22"/>
          <w:szCs w:val="22"/>
        </w:rPr>
        <w:t>•</w:t>
      </w:r>
      <w:r w:rsidRPr="00712433">
        <w:rPr>
          <w:sz w:val="22"/>
          <w:szCs w:val="22"/>
        </w:rPr>
        <w:tab/>
        <w:t>Be &gt; 50.000</w:t>
      </w:r>
    </w:p>
    <w:p w14:paraId="3E2DA920" w14:textId="77777777" w:rsidR="005971EC" w:rsidRPr="00712433" w:rsidRDefault="005971EC" w:rsidP="005971EC">
      <w:pPr>
        <w:pStyle w:val="Default"/>
        <w:spacing w:line="360" w:lineRule="auto"/>
        <w:ind w:left="1134"/>
        <w:jc w:val="both"/>
        <w:rPr>
          <w:sz w:val="22"/>
          <w:szCs w:val="22"/>
        </w:rPr>
      </w:pPr>
      <w:r w:rsidRPr="00712433">
        <w:rPr>
          <w:sz w:val="22"/>
          <w:szCs w:val="22"/>
        </w:rPr>
        <w:t>•</w:t>
      </w:r>
      <w:r w:rsidRPr="00712433">
        <w:rPr>
          <w:sz w:val="22"/>
          <w:szCs w:val="22"/>
        </w:rPr>
        <w:tab/>
        <w:t>In</w:t>
      </w:r>
      <w:r w:rsidRPr="00712433">
        <w:rPr>
          <w:sz w:val="22"/>
          <w:szCs w:val="22"/>
          <w:vertAlign w:val="subscript"/>
        </w:rPr>
        <w:t>115</w:t>
      </w:r>
      <w:r w:rsidRPr="00712433">
        <w:rPr>
          <w:sz w:val="22"/>
          <w:szCs w:val="22"/>
        </w:rPr>
        <w:t xml:space="preserve">&gt; 1.500.000 </w:t>
      </w:r>
    </w:p>
    <w:p w14:paraId="78BE0165" w14:textId="77777777" w:rsidR="005971EC" w:rsidRPr="00712433" w:rsidRDefault="005971EC" w:rsidP="005971EC">
      <w:pPr>
        <w:pStyle w:val="Default"/>
        <w:spacing w:line="360" w:lineRule="auto"/>
        <w:ind w:left="1134"/>
        <w:jc w:val="both"/>
        <w:rPr>
          <w:sz w:val="22"/>
          <w:szCs w:val="22"/>
        </w:rPr>
      </w:pPr>
      <w:r w:rsidRPr="00712433">
        <w:rPr>
          <w:sz w:val="22"/>
          <w:szCs w:val="22"/>
        </w:rPr>
        <w:lastRenderedPageBreak/>
        <w:t>•</w:t>
      </w:r>
      <w:r w:rsidRPr="00712433">
        <w:rPr>
          <w:sz w:val="22"/>
          <w:szCs w:val="22"/>
        </w:rPr>
        <w:tab/>
        <w:t xml:space="preserve">Th&gt; 1.000.000, </w:t>
      </w:r>
    </w:p>
    <w:p w14:paraId="2C48788D" w14:textId="77777777" w:rsidR="005971EC" w:rsidRPr="00712433" w:rsidRDefault="005971EC" w:rsidP="005971EC">
      <w:pPr>
        <w:pStyle w:val="Default"/>
        <w:spacing w:line="360" w:lineRule="auto"/>
        <w:ind w:left="1134"/>
        <w:jc w:val="both"/>
        <w:rPr>
          <w:sz w:val="22"/>
          <w:szCs w:val="22"/>
        </w:rPr>
      </w:pPr>
      <w:r w:rsidRPr="00712433">
        <w:rPr>
          <w:sz w:val="22"/>
          <w:szCs w:val="22"/>
        </w:rPr>
        <w:t>•</w:t>
      </w:r>
      <w:r w:rsidRPr="00712433">
        <w:rPr>
          <w:sz w:val="22"/>
          <w:szCs w:val="22"/>
        </w:rPr>
        <w:tab/>
        <w:t>CeO/Ce &lt; 0.02</w:t>
      </w:r>
    </w:p>
    <w:p w14:paraId="7345929C" w14:textId="77777777" w:rsidR="005971EC" w:rsidRPr="00712433" w:rsidRDefault="005971EC" w:rsidP="005971EC">
      <w:pPr>
        <w:pStyle w:val="Default"/>
        <w:spacing w:line="360" w:lineRule="auto"/>
        <w:ind w:left="1134"/>
        <w:jc w:val="both"/>
        <w:rPr>
          <w:sz w:val="22"/>
          <w:szCs w:val="22"/>
        </w:rPr>
      </w:pPr>
      <w:r w:rsidRPr="00712433">
        <w:rPr>
          <w:sz w:val="22"/>
          <w:szCs w:val="22"/>
        </w:rPr>
        <w:t>•</w:t>
      </w:r>
      <w:r w:rsidRPr="00712433">
        <w:rPr>
          <w:sz w:val="22"/>
          <w:szCs w:val="22"/>
        </w:rPr>
        <w:tab/>
        <w:t>Çift yüklüler &lt; 0.03</w:t>
      </w:r>
    </w:p>
    <w:p w14:paraId="4F165F42" w14:textId="77777777" w:rsidR="005971EC" w:rsidRPr="00712433" w:rsidRDefault="005971EC" w:rsidP="005971EC">
      <w:pPr>
        <w:pStyle w:val="Default"/>
        <w:spacing w:line="360" w:lineRule="auto"/>
        <w:ind w:left="1134"/>
        <w:jc w:val="both"/>
        <w:rPr>
          <w:sz w:val="22"/>
          <w:szCs w:val="22"/>
        </w:rPr>
      </w:pPr>
    </w:p>
    <w:p w14:paraId="28515918" w14:textId="77777777" w:rsidR="005971EC" w:rsidRPr="00712433" w:rsidRDefault="005971EC" w:rsidP="005971EC">
      <w:pPr>
        <w:pStyle w:val="Default"/>
        <w:spacing w:line="360" w:lineRule="auto"/>
        <w:ind w:firstLine="567"/>
        <w:jc w:val="both"/>
        <w:rPr>
          <w:b/>
          <w:sz w:val="22"/>
          <w:szCs w:val="22"/>
        </w:rPr>
      </w:pPr>
      <w:r w:rsidRPr="00712433">
        <w:rPr>
          <w:b/>
          <w:sz w:val="22"/>
          <w:szCs w:val="22"/>
        </w:rPr>
        <w:t>X-Y Ayarı:</w:t>
      </w:r>
    </w:p>
    <w:p w14:paraId="53D3B9B2" w14:textId="77777777" w:rsidR="005971EC" w:rsidRPr="00712433" w:rsidRDefault="005971EC" w:rsidP="005971EC">
      <w:pPr>
        <w:pStyle w:val="Default"/>
        <w:spacing w:line="360" w:lineRule="auto"/>
        <w:ind w:firstLine="567"/>
        <w:jc w:val="both"/>
        <w:rPr>
          <w:sz w:val="22"/>
          <w:szCs w:val="22"/>
        </w:rPr>
      </w:pPr>
      <w:r w:rsidRPr="00712433">
        <w:rPr>
          <w:sz w:val="22"/>
          <w:szCs w:val="22"/>
        </w:rPr>
        <w:t>Bunların dışında değerler verirse x-y ayarı yapılmalıdır. Time modunda okuma yaparken stop edilir ve Manuel Sample Introduction tiklenerek ardından start verilir. 3 kez üst üste okuma yapar ve değerlerin uygun olup olmadığı tekrar kontrol edilir.</w:t>
      </w:r>
    </w:p>
    <w:p w14:paraId="7C87C28B" w14:textId="77777777" w:rsidR="005971EC" w:rsidRPr="00712433" w:rsidRDefault="005971EC" w:rsidP="005971EC">
      <w:pPr>
        <w:pStyle w:val="Default"/>
        <w:spacing w:line="360" w:lineRule="auto"/>
        <w:ind w:left="1134"/>
        <w:jc w:val="both"/>
        <w:rPr>
          <w:b/>
          <w:sz w:val="22"/>
          <w:szCs w:val="22"/>
        </w:rPr>
      </w:pPr>
      <w:r w:rsidRPr="00712433">
        <w:rPr>
          <w:b/>
          <w:sz w:val="22"/>
          <w:szCs w:val="22"/>
        </w:rPr>
        <w:t>Çözelti hazırlama:</w:t>
      </w:r>
    </w:p>
    <w:p w14:paraId="7F3F4960" w14:textId="77777777" w:rsidR="005971EC" w:rsidRPr="00712433" w:rsidRDefault="005971EC" w:rsidP="005971EC">
      <w:pPr>
        <w:pStyle w:val="Default"/>
        <w:spacing w:line="360" w:lineRule="auto"/>
        <w:ind w:left="1134"/>
        <w:jc w:val="both"/>
        <w:rPr>
          <w:sz w:val="22"/>
          <w:szCs w:val="22"/>
        </w:rPr>
      </w:pPr>
      <w:r w:rsidRPr="00712433">
        <w:rPr>
          <w:sz w:val="22"/>
          <w:szCs w:val="22"/>
        </w:rPr>
        <w:t>%0,5lik HNO</w:t>
      </w:r>
      <w:r w:rsidRPr="00712433">
        <w:rPr>
          <w:sz w:val="22"/>
          <w:szCs w:val="22"/>
          <w:vertAlign w:val="subscript"/>
        </w:rPr>
        <w:t xml:space="preserve">3 </w:t>
      </w:r>
      <w:r w:rsidRPr="00712433">
        <w:rPr>
          <w:sz w:val="22"/>
          <w:szCs w:val="22"/>
        </w:rPr>
        <w:t>(Nitrik Asit Çözeltisi)</w:t>
      </w:r>
    </w:p>
    <w:p w14:paraId="39EEE3E2" w14:textId="77777777" w:rsidR="005971EC" w:rsidRPr="00712433" w:rsidRDefault="005971EC" w:rsidP="005971EC">
      <w:pPr>
        <w:pStyle w:val="Default"/>
        <w:spacing w:line="360" w:lineRule="auto"/>
        <w:ind w:left="1134"/>
        <w:jc w:val="both"/>
        <w:rPr>
          <w:sz w:val="22"/>
          <w:szCs w:val="22"/>
        </w:rPr>
      </w:pPr>
      <w:r w:rsidRPr="00712433">
        <w:rPr>
          <w:sz w:val="22"/>
          <w:szCs w:val="22"/>
        </w:rPr>
        <w:t>%1lik HNO</w:t>
      </w:r>
      <w:r w:rsidRPr="00712433">
        <w:rPr>
          <w:sz w:val="22"/>
          <w:szCs w:val="22"/>
          <w:vertAlign w:val="subscript"/>
        </w:rPr>
        <w:t xml:space="preserve">3 </w:t>
      </w:r>
      <w:r w:rsidRPr="00712433">
        <w:rPr>
          <w:sz w:val="22"/>
          <w:szCs w:val="22"/>
        </w:rPr>
        <w:t>(Nitrik Asit Çözeltisi)</w:t>
      </w:r>
    </w:p>
    <w:p w14:paraId="1CA92042" w14:textId="77777777" w:rsidR="005971EC" w:rsidRPr="00712433" w:rsidRDefault="005971EC" w:rsidP="005971EC">
      <w:pPr>
        <w:pStyle w:val="Default"/>
        <w:spacing w:line="360" w:lineRule="auto"/>
        <w:ind w:left="1134"/>
        <w:jc w:val="both"/>
        <w:rPr>
          <w:sz w:val="22"/>
          <w:szCs w:val="22"/>
        </w:rPr>
      </w:pPr>
      <w:r w:rsidRPr="00712433">
        <w:rPr>
          <w:sz w:val="22"/>
          <w:szCs w:val="22"/>
        </w:rPr>
        <w:t xml:space="preserve">1 ppb Internal Standart </w:t>
      </w:r>
    </w:p>
    <w:p w14:paraId="0B384288" w14:textId="1B774B5D" w:rsidR="005971EC" w:rsidRPr="00712433" w:rsidRDefault="005971EC" w:rsidP="00ED4AD9">
      <w:pPr>
        <w:pStyle w:val="Default"/>
        <w:spacing w:line="360" w:lineRule="auto"/>
        <w:ind w:left="1134"/>
        <w:jc w:val="both"/>
        <w:rPr>
          <w:sz w:val="22"/>
          <w:szCs w:val="22"/>
        </w:rPr>
      </w:pPr>
      <w:r w:rsidRPr="00712433">
        <w:rPr>
          <w:sz w:val="22"/>
          <w:szCs w:val="22"/>
        </w:rPr>
        <w:t>1 ppb Tunne Çözeltisi hazırlanır.</w:t>
      </w:r>
    </w:p>
    <w:p w14:paraId="085D0692"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 xml:space="preserve">UYGULAMA </w:t>
      </w:r>
    </w:p>
    <w:p w14:paraId="73D1B420" w14:textId="77777777" w:rsidR="005971EC" w:rsidRPr="00712433" w:rsidRDefault="005971EC" w:rsidP="005971EC">
      <w:pPr>
        <w:pStyle w:val="Default"/>
        <w:spacing w:line="360" w:lineRule="auto"/>
        <w:ind w:firstLine="567"/>
        <w:jc w:val="both"/>
        <w:rPr>
          <w:b/>
          <w:sz w:val="22"/>
          <w:szCs w:val="22"/>
        </w:rPr>
      </w:pPr>
      <w:r w:rsidRPr="00712433">
        <w:rPr>
          <w:b/>
          <w:sz w:val="22"/>
          <w:szCs w:val="22"/>
        </w:rPr>
        <w:t xml:space="preserve">Analiz Numunesinin Hazırlanması: </w:t>
      </w:r>
    </w:p>
    <w:p w14:paraId="4EF82C74" w14:textId="77777777" w:rsidR="005971EC" w:rsidRPr="00712433" w:rsidRDefault="005971EC" w:rsidP="005971EC">
      <w:pPr>
        <w:pStyle w:val="Default"/>
        <w:spacing w:line="360" w:lineRule="auto"/>
        <w:ind w:firstLine="567"/>
        <w:jc w:val="both"/>
        <w:rPr>
          <w:sz w:val="22"/>
          <w:szCs w:val="22"/>
        </w:rPr>
      </w:pPr>
      <w:r w:rsidRPr="00712433">
        <w:rPr>
          <w:sz w:val="22"/>
          <w:szCs w:val="22"/>
        </w:rPr>
        <w:t>Alınan numune ICP-MS cihazında çalışılabilmesi için; %0,5’lik HNO</w:t>
      </w:r>
      <w:r w:rsidRPr="00712433">
        <w:rPr>
          <w:sz w:val="22"/>
          <w:szCs w:val="22"/>
          <w:vertAlign w:val="subscript"/>
        </w:rPr>
        <w:t>3</w:t>
      </w:r>
      <w:r w:rsidRPr="00712433">
        <w:rPr>
          <w:sz w:val="22"/>
          <w:szCs w:val="22"/>
        </w:rPr>
        <w:t xml:space="preserve"> çözeltisi ile ppb (10</w:t>
      </w:r>
      <w:r w:rsidRPr="00712433">
        <w:rPr>
          <w:sz w:val="22"/>
          <w:szCs w:val="22"/>
          <w:vertAlign w:val="superscript"/>
        </w:rPr>
        <w:t>-12</w:t>
      </w:r>
      <w:r w:rsidRPr="00712433">
        <w:rPr>
          <w:sz w:val="22"/>
          <w:szCs w:val="22"/>
        </w:rPr>
        <w:t xml:space="preserve">) seviyesine seyreltilir. </w:t>
      </w:r>
    </w:p>
    <w:p w14:paraId="21CE4FA9" w14:textId="77777777" w:rsidR="005971EC" w:rsidRPr="00712433" w:rsidRDefault="005971EC" w:rsidP="005971EC">
      <w:pPr>
        <w:pStyle w:val="Default"/>
        <w:spacing w:line="360" w:lineRule="auto"/>
        <w:ind w:firstLine="567"/>
        <w:jc w:val="both"/>
        <w:rPr>
          <w:b/>
          <w:sz w:val="22"/>
          <w:szCs w:val="22"/>
        </w:rPr>
      </w:pPr>
      <w:r w:rsidRPr="00712433">
        <w:rPr>
          <w:b/>
          <w:sz w:val="22"/>
          <w:szCs w:val="22"/>
        </w:rPr>
        <w:t xml:space="preserve">Analiz Numunesini Cihaza Verilmesi: </w:t>
      </w:r>
    </w:p>
    <w:p w14:paraId="6A428565" w14:textId="637660C7" w:rsidR="005971EC" w:rsidRPr="00712433" w:rsidRDefault="005971EC" w:rsidP="00ED4AD9">
      <w:pPr>
        <w:pStyle w:val="Default"/>
        <w:spacing w:line="360" w:lineRule="auto"/>
        <w:ind w:firstLine="567"/>
        <w:jc w:val="both"/>
        <w:rPr>
          <w:sz w:val="22"/>
          <w:szCs w:val="22"/>
        </w:rPr>
      </w:pPr>
      <w:r w:rsidRPr="00712433">
        <w:rPr>
          <w:sz w:val="22"/>
          <w:szCs w:val="22"/>
        </w:rPr>
        <w:t xml:space="preserve">Uygun konsantrasyonda hazırlanan deney numunesi 50 ml’lik numune kaplarına aktarılır ve deney numunesinin yeri cihaz yazılımına tanıtılır. </w:t>
      </w:r>
    </w:p>
    <w:p w14:paraId="15046B95"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DEĞERLENDİRMELER / HESAPLAMALAR</w:t>
      </w:r>
    </w:p>
    <w:p w14:paraId="659FEF38" w14:textId="77777777" w:rsidR="005971EC" w:rsidRPr="00712433" w:rsidRDefault="005971EC" w:rsidP="005971EC">
      <w:pPr>
        <w:pStyle w:val="Default"/>
        <w:spacing w:line="360" w:lineRule="auto"/>
        <w:ind w:firstLine="567"/>
        <w:jc w:val="both"/>
        <w:rPr>
          <w:b/>
          <w:sz w:val="22"/>
          <w:szCs w:val="22"/>
        </w:rPr>
      </w:pPr>
      <w:r w:rsidRPr="00712433">
        <w:rPr>
          <w:b/>
          <w:sz w:val="22"/>
          <w:szCs w:val="22"/>
        </w:rPr>
        <w:t xml:space="preserve">Absorbans Ölçümlerinin Değerlendirilmesi </w:t>
      </w:r>
    </w:p>
    <w:p w14:paraId="4BE79D00" w14:textId="6AA7746F" w:rsidR="005971EC" w:rsidRDefault="005971EC" w:rsidP="00ED4AD9">
      <w:pPr>
        <w:pStyle w:val="Default"/>
        <w:spacing w:line="360" w:lineRule="auto"/>
        <w:ind w:firstLine="567"/>
        <w:jc w:val="both"/>
        <w:rPr>
          <w:sz w:val="22"/>
          <w:szCs w:val="22"/>
        </w:rPr>
      </w:pPr>
      <w:r w:rsidRPr="00712433">
        <w:rPr>
          <w:sz w:val="22"/>
          <w:szCs w:val="22"/>
        </w:rPr>
        <w:t>Ölçüm yapılan absorbans değerlerine göre ICP-MS sisteminde numunedeki belirlenen Nikel miktarı ppb (10</w:t>
      </w:r>
      <w:r w:rsidRPr="00712433">
        <w:rPr>
          <w:sz w:val="22"/>
          <w:szCs w:val="22"/>
          <w:vertAlign w:val="superscript"/>
        </w:rPr>
        <w:t>-12</w:t>
      </w:r>
      <w:r w:rsidRPr="00712433">
        <w:rPr>
          <w:sz w:val="22"/>
          <w:szCs w:val="22"/>
        </w:rPr>
        <w:t xml:space="preserve">) seviyesinde cihazdan sonuç olarak alınır. Gerekli hesaplamalar cihaz tarafından otomatik yapılır. Cihaz yazılımından alınan absorbans değerlerine göre cihaza verilen numunedeki element miktarı tayin edilmiş olur. </w:t>
      </w:r>
    </w:p>
    <w:p w14:paraId="352AAF3A" w14:textId="77777777" w:rsidR="00ED4AD9" w:rsidRPr="00712433" w:rsidRDefault="00ED4AD9" w:rsidP="00ED4AD9">
      <w:pPr>
        <w:pStyle w:val="Default"/>
        <w:spacing w:line="360" w:lineRule="auto"/>
        <w:ind w:firstLine="567"/>
        <w:jc w:val="both"/>
        <w:rPr>
          <w:sz w:val="22"/>
          <w:szCs w:val="22"/>
        </w:rPr>
      </w:pPr>
    </w:p>
    <w:p w14:paraId="0F7EDBF3" w14:textId="77777777" w:rsidR="005971EC" w:rsidRPr="00712433" w:rsidRDefault="005971EC" w:rsidP="005971EC">
      <w:pPr>
        <w:pStyle w:val="Default"/>
        <w:numPr>
          <w:ilvl w:val="0"/>
          <w:numId w:val="3"/>
        </w:numPr>
        <w:spacing w:line="360" w:lineRule="auto"/>
        <w:jc w:val="both"/>
        <w:rPr>
          <w:b/>
          <w:bCs/>
          <w:sz w:val="22"/>
          <w:szCs w:val="22"/>
        </w:rPr>
      </w:pPr>
      <w:r w:rsidRPr="00712433">
        <w:rPr>
          <w:b/>
          <w:bCs/>
          <w:sz w:val="22"/>
          <w:szCs w:val="22"/>
        </w:rPr>
        <w:t>SONUÇLARIN GÖSTERİLMESİ</w:t>
      </w:r>
    </w:p>
    <w:p w14:paraId="7E0854BD" w14:textId="513E4426" w:rsidR="005971EC" w:rsidRPr="00712433" w:rsidRDefault="005971EC" w:rsidP="006D13C6">
      <w:pPr>
        <w:pStyle w:val="Default"/>
        <w:spacing w:line="360" w:lineRule="auto"/>
        <w:ind w:firstLine="567"/>
        <w:jc w:val="both"/>
        <w:rPr>
          <w:sz w:val="22"/>
          <w:szCs w:val="22"/>
        </w:rPr>
      </w:pPr>
      <w:r w:rsidRPr="00712433">
        <w:rPr>
          <w:sz w:val="22"/>
          <w:szCs w:val="22"/>
        </w:rPr>
        <w:t>Sonuçlar konsantrasyon (ppb) olarak verilir.</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5971EC" w:rsidRPr="00712433" w14:paraId="2836FD1E" w14:textId="77777777" w:rsidTr="000E2526">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20A7CF26" w14:textId="77777777" w:rsidR="005971EC" w:rsidRPr="00712433" w:rsidRDefault="005971EC" w:rsidP="000E2526">
            <w:pPr>
              <w:pStyle w:val="Default"/>
              <w:spacing w:line="360" w:lineRule="auto"/>
              <w:jc w:val="both"/>
              <w:rPr>
                <w:b/>
                <w:bCs/>
                <w:sz w:val="22"/>
                <w:szCs w:val="22"/>
              </w:rPr>
            </w:pPr>
            <w:bookmarkStart w:id="1" w:name="_Hlk30599149"/>
            <w:r w:rsidRPr="00712433">
              <w:rPr>
                <w:b/>
                <w:bCs/>
                <w:sz w:val="22"/>
                <w:szCs w:val="22"/>
              </w:rPr>
              <w:t>Revizyon No</w:t>
            </w:r>
          </w:p>
        </w:tc>
        <w:tc>
          <w:tcPr>
            <w:tcW w:w="778" w:type="pct"/>
            <w:tcBorders>
              <w:top w:val="single" w:sz="4" w:space="0" w:color="auto"/>
              <w:left w:val="single" w:sz="4" w:space="0" w:color="auto"/>
              <w:bottom w:val="single" w:sz="4" w:space="0" w:color="auto"/>
              <w:right w:val="single" w:sz="4" w:space="0" w:color="auto"/>
            </w:tcBorders>
            <w:hideMark/>
          </w:tcPr>
          <w:p w14:paraId="60C29B47" w14:textId="77777777" w:rsidR="005971EC" w:rsidRPr="00712433" w:rsidRDefault="005971EC" w:rsidP="000E2526">
            <w:pPr>
              <w:pStyle w:val="Default"/>
              <w:spacing w:line="360" w:lineRule="auto"/>
              <w:jc w:val="both"/>
              <w:rPr>
                <w:b/>
                <w:bCs/>
                <w:sz w:val="22"/>
                <w:szCs w:val="22"/>
              </w:rPr>
            </w:pPr>
            <w:r w:rsidRPr="00712433">
              <w:rPr>
                <w:b/>
                <w:bCs/>
                <w:sz w:val="22"/>
                <w:szCs w:val="22"/>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4CBCEA8" w14:textId="77777777" w:rsidR="005971EC" w:rsidRPr="00712433" w:rsidRDefault="005971EC" w:rsidP="000E2526">
            <w:pPr>
              <w:pStyle w:val="Default"/>
              <w:spacing w:line="360" w:lineRule="auto"/>
              <w:jc w:val="both"/>
              <w:rPr>
                <w:b/>
                <w:bCs/>
                <w:sz w:val="22"/>
                <w:szCs w:val="22"/>
              </w:rPr>
            </w:pPr>
            <w:r w:rsidRPr="00712433">
              <w:rPr>
                <w:b/>
                <w:bCs/>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39C3D108" w14:textId="77777777" w:rsidR="005971EC" w:rsidRPr="00712433" w:rsidRDefault="005971EC" w:rsidP="000E2526">
            <w:pPr>
              <w:pStyle w:val="Default"/>
              <w:spacing w:line="360" w:lineRule="auto"/>
              <w:jc w:val="both"/>
              <w:rPr>
                <w:b/>
                <w:bCs/>
                <w:sz w:val="22"/>
                <w:szCs w:val="22"/>
              </w:rPr>
            </w:pPr>
            <w:r w:rsidRPr="00712433">
              <w:rPr>
                <w:b/>
                <w:bCs/>
                <w:sz w:val="22"/>
                <w:szCs w:val="22"/>
              </w:rPr>
              <w:t>Değişiklik Açıklaması / Nedeni</w:t>
            </w:r>
          </w:p>
        </w:tc>
      </w:tr>
      <w:bookmarkEnd w:id="1"/>
    </w:tbl>
    <w:p w14:paraId="68139754" w14:textId="77777777" w:rsidR="00316953" w:rsidRPr="00712433" w:rsidRDefault="00316953" w:rsidP="006D13C6">
      <w:pPr>
        <w:pStyle w:val="KonuBal"/>
        <w:ind w:left="0"/>
      </w:pPr>
    </w:p>
    <w:sectPr w:rsidR="00316953" w:rsidRPr="00712433"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43CF" w14:textId="77777777" w:rsidR="006930F9" w:rsidRDefault="006930F9" w:rsidP="007746F3">
      <w:r>
        <w:separator/>
      </w:r>
    </w:p>
  </w:endnote>
  <w:endnote w:type="continuationSeparator" w:id="0">
    <w:p w14:paraId="76814CB3" w14:textId="77777777" w:rsidR="006930F9" w:rsidRDefault="006930F9"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4862" w14:textId="77777777" w:rsidR="00DB2A5D" w:rsidRDefault="00DB2A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E2125A" w14:paraId="342BA643" w14:textId="77777777" w:rsidTr="00712433">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AD5BC4" w14:textId="77777777" w:rsidR="00E2125A" w:rsidRDefault="00E2125A" w:rsidP="00E2125A">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08A6182B" w14:textId="77777777" w:rsidR="00E2125A" w:rsidRDefault="00E2125A" w:rsidP="00E2125A">
          <w:pPr>
            <w:tabs>
              <w:tab w:val="center" w:pos="4536"/>
              <w:tab w:val="right" w:pos="9072"/>
            </w:tabs>
            <w:jc w:val="center"/>
            <w:rPr>
              <w:rFonts w:ascii="Times New Roman" w:hAnsi="Times New Roman" w:cs="Times New Roman"/>
              <w:b/>
              <w:color w:val="000000" w:themeColor="text1"/>
              <w:sz w:val="16"/>
              <w:szCs w:val="16"/>
            </w:rPr>
          </w:pPr>
        </w:p>
        <w:p w14:paraId="1905EC61" w14:textId="339EB187" w:rsidR="00E2125A" w:rsidRDefault="00CC317F" w:rsidP="00802837">
          <w:pPr>
            <w:tabs>
              <w:tab w:val="center" w:pos="4536"/>
              <w:tab w:val="right" w:pos="9072"/>
            </w:tabs>
            <w:jc w:val="center"/>
            <w:rPr>
              <w:rFonts w:ascii="Times New Roman" w:hAnsi="Times New Roman" w:cs="Times New Roman"/>
              <w:b/>
              <w:sz w:val="16"/>
              <w:szCs w:val="16"/>
            </w:rPr>
          </w:pPr>
          <w:r w:rsidRPr="00CC317F">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34A0A40" w14:textId="77777777" w:rsidR="00E2125A" w:rsidRDefault="00E2125A" w:rsidP="00E2125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1A77F7E5" w14:textId="77777777" w:rsidR="00E2125A" w:rsidRDefault="00E2125A" w:rsidP="00E2125A">
          <w:pPr>
            <w:tabs>
              <w:tab w:val="center" w:pos="4536"/>
              <w:tab w:val="right" w:pos="9072"/>
            </w:tabs>
            <w:jc w:val="center"/>
            <w:rPr>
              <w:rFonts w:ascii="Times New Roman" w:hAnsi="Times New Roman" w:cs="Times New Roman"/>
              <w:b/>
              <w:sz w:val="16"/>
              <w:szCs w:val="16"/>
            </w:rPr>
          </w:pPr>
        </w:p>
        <w:p w14:paraId="076DB9FA" w14:textId="77777777" w:rsidR="00E2125A" w:rsidRDefault="00E2125A" w:rsidP="00E2125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7845EA0" w14:textId="77777777" w:rsidR="00E2125A" w:rsidRDefault="00E2125A" w:rsidP="00E2125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4C2ED972" w14:textId="77777777" w:rsidR="00E2125A" w:rsidRDefault="00E2125A" w:rsidP="00E2125A">
          <w:pPr>
            <w:tabs>
              <w:tab w:val="center" w:pos="4536"/>
              <w:tab w:val="right" w:pos="9072"/>
            </w:tabs>
            <w:jc w:val="center"/>
            <w:rPr>
              <w:rFonts w:ascii="Times New Roman" w:hAnsi="Times New Roman" w:cs="Times New Roman"/>
              <w:b/>
              <w:sz w:val="16"/>
              <w:szCs w:val="16"/>
            </w:rPr>
          </w:pPr>
        </w:p>
        <w:p w14:paraId="3C58C288" w14:textId="77777777" w:rsidR="00E2125A" w:rsidRDefault="00E2125A" w:rsidP="00E2125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3365" w14:textId="77777777" w:rsidR="00DB2A5D" w:rsidRDefault="00DB2A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4F5C" w14:textId="77777777" w:rsidR="006930F9" w:rsidRDefault="006930F9" w:rsidP="007746F3">
      <w:r>
        <w:separator/>
      </w:r>
    </w:p>
  </w:footnote>
  <w:footnote w:type="continuationSeparator" w:id="0">
    <w:p w14:paraId="2505066A" w14:textId="77777777" w:rsidR="006930F9" w:rsidRDefault="006930F9"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4D7C" w14:textId="77777777" w:rsidR="00DB2A5D" w:rsidRDefault="00DB2A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17" w:type="dxa"/>
      <w:tblInd w:w="-5" w:type="dxa"/>
      <w:tblLook w:val="04A0" w:firstRow="1" w:lastRow="0" w:firstColumn="1" w:lastColumn="0" w:noHBand="0" w:noVBand="1"/>
    </w:tblPr>
    <w:tblGrid>
      <w:gridCol w:w="1701"/>
      <w:gridCol w:w="1701"/>
      <w:gridCol w:w="2883"/>
      <w:gridCol w:w="1719"/>
      <w:gridCol w:w="1813"/>
    </w:tblGrid>
    <w:tr w:rsidR="00712433" w:rsidRPr="00B36592" w14:paraId="27AC2E93" w14:textId="77777777" w:rsidTr="00712433">
      <w:trPr>
        <w:trHeight w:val="727"/>
      </w:trPr>
      <w:tc>
        <w:tcPr>
          <w:tcW w:w="1701" w:type="dxa"/>
          <w:vMerge w:val="restart"/>
          <w:vAlign w:val="center"/>
        </w:tcPr>
        <w:p w14:paraId="2771A10F" w14:textId="77777777" w:rsidR="00712433" w:rsidRPr="00B36592" w:rsidRDefault="00712433" w:rsidP="007746F3">
          <w:pPr>
            <w:jc w:val="center"/>
            <w:rPr>
              <w:sz w:val="20"/>
            </w:rPr>
          </w:pPr>
          <w:bookmarkStart w:id="2" w:name="_Hlk150157118"/>
          <w:r w:rsidRPr="00B36592">
            <w:rPr>
              <w:noProof/>
              <w:sz w:val="20"/>
              <w:lang w:eastAsia="tr-TR"/>
            </w:rPr>
            <w:drawing>
              <wp:anchor distT="0" distB="0" distL="114300" distR="114300" simplePos="0" relativeHeight="251661824" behindDoc="0" locked="0" layoutInCell="1" allowOverlap="1" wp14:anchorId="1FF94B92" wp14:editId="5D013B8C">
                <wp:simplePos x="0" y="0"/>
                <wp:positionH relativeFrom="column">
                  <wp:posOffset>-24130</wp:posOffset>
                </wp:positionH>
                <wp:positionV relativeFrom="paragraph">
                  <wp:posOffset>17145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16" w:type="dxa"/>
          <w:gridSpan w:val="4"/>
          <w:vAlign w:val="center"/>
        </w:tcPr>
        <w:p w14:paraId="782A0213" w14:textId="377C6035" w:rsidR="00712433" w:rsidRDefault="00712433" w:rsidP="005B2C99">
          <w:pPr>
            <w:jc w:val="center"/>
            <w:rPr>
              <w:rFonts w:ascii="Times New Roman" w:hAnsi="Times New Roman"/>
              <w:noProof/>
              <w:lang w:eastAsia="tr-TR"/>
            </w:rPr>
          </w:pPr>
          <w:r>
            <w:rPr>
              <w:rFonts w:ascii="Times New Roman" w:hAnsi="Times New Roman"/>
              <w:noProof/>
              <w:lang w:eastAsia="tr-TR"/>
            </w:rPr>
            <w:t xml:space="preserve">ANALİZ YÖNTEMİ </w:t>
          </w:r>
          <w:r w:rsidR="00DB2A5D" w:rsidRPr="00DB2A5D">
            <w:rPr>
              <w:rFonts w:ascii="Times New Roman" w:hAnsi="Times New Roman"/>
              <w:noProof/>
              <w:lang w:val="en-US" w:eastAsia="tr-TR"/>
            </w:rPr>
            <w:t xml:space="preserve">TALİMATI </w:t>
          </w:r>
          <w:r>
            <w:rPr>
              <w:rFonts w:ascii="Times New Roman" w:hAnsi="Times New Roman"/>
              <w:noProof/>
              <w:lang w:eastAsia="tr-TR"/>
            </w:rPr>
            <w:t>(ICP-MS)</w:t>
          </w:r>
        </w:p>
        <w:p w14:paraId="4D3C91A4" w14:textId="1B98D70C" w:rsidR="00712433" w:rsidRPr="00AC420E" w:rsidRDefault="00712433" w:rsidP="005B2C99">
          <w:pPr>
            <w:jc w:val="center"/>
            <w:rPr>
              <w:rFonts w:ascii="Times New Roman" w:hAnsi="Times New Roman" w:cs="Times New Roman"/>
              <w:sz w:val="20"/>
            </w:rPr>
          </w:pPr>
        </w:p>
      </w:tc>
    </w:tr>
    <w:tr w:rsidR="007746F3" w:rsidRPr="00B36592" w14:paraId="6F2E117F" w14:textId="77777777" w:rsidTr="00712433">
      <w:trPr>
        <w:trHeight w:hRule="exact" w:val="289"/>
      </w:trPr>
      <w:tc>
        <w:tcPr>
          <w:tcW w:w="1701"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83" w:type="dxa"/>
          <w:vAlign w:val="center"/>
        </w:tcPr>
        <w:p w14:paraId="528E9E3C" w14:textId="4CE89635" w:rsidR="007746F3" w:rsidRPr="00837053" w:rsidRDefault="00AC5A68" w:rsidP="007746F3">
          <w:pPr>
            <w:rPr>
              <w:rFonts w:ascii="Times New Roman" w:hAnsi="Times New Roman" w:cs="Times New Roman"/>
            </w:rPr>
          </w:pPr>
          <w:r>
            <w:rPr>
              <w:rFonts w:ascii="Times New Roman" w:hAnsi="Times New Roman" w:cs="Times New Roman"/>
            </w:rPr>
            <w:t>TLM-</w:t>
          </w:r>
          <w:r w:rsidR="00802837">
            <w:rPr>
              <w:rFonts w:ascii="Times New Roman" w:hAnsi="Times New Roman" w:cs="Times New Roman"/>
            </w:rPr>
            <w:t>83</w:t>
          </w:r>
        </w:p>
      </w:tc>
      <w:tc>
        <w:tcPr>
          <w:tcW w:w="1719"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51049B" w:rsidRPr="00B36592" w14:paraId="5DED7287" w14:textId="77777777" w:rsidTr="00712433">
      <w:trPr>
        <w:trHeight w:hRule="exact" w:val="277"/>
      </w:trPr>
      <w:tc>
        <w:tcPr>
          <w:tcW w:w="1701" w:type="dxa"/>
          <w:vMerge/>
          <w:vAlign w:val="center"/>
        </w:tcPr>
        <w:p w14:paraId="55622155" w14:textId="77777777" w:rsidR="0051049B" w:rsidRPr="00B36592" w:rsidRDefault="0051049B" w:rsidP="0051049B">
          <w:pPr>
            <w:rPr>
              <w:sz w:val="20"/>
            </w:rPr>
          </w:pPr>
        </w:p>
      </w:tc>
      <w:tc>
        <w:tcPr>
          <w:tcW w:w="1701" w:type="dxa"/>
          <w:vAlign w:val="center"/>
        </w:tcPr>
        <w:p w14:paraId="30A59ECF" w14:textId="77777777" w:rsidR="0051049B" w:rsidRPr="00837053" w:rsidRDefault="0051049B" w:rsidP="0051049B">
          <w:pPr>
            <w:rPr>
              <w:rFonts w:ascii="Times New Roman" w:hAnsi="Times New Roman" w:cs="Times New Roman"/>
            </w:rPr>
          </w:pPr>
          <w:r w:rsidRPr="00837053">
            <w:rPr>
              <w:rFonts w:ascii="Times New Roman" w:hAnsi="Times New Roman" w:cs="Times New Roman"/>
            </w:rPr>
            <w:t>İlk Yayın Tarihi</w:t>
          </w:r>
        </w:p>
      </w:tc>
      <w:tc>
        <w:tcPr>
          <w:tcW w:w="2883" w:type="dxa"/>
          <w:vAlign w:val="center"/>
        </w:tcPr>
        <w:p w14:paraId="5CCA3860" w14:textId="43A405DB" w:rsidR="0051049B" w:rsidRPr="00837053" w:rsidRDefault="0051049B" w:rsidP="0051049B">
          <w:pPr>
            <w:rPr>
              <w:rFonts w:ascii="Times New Roman" w:hAnsi="Times New Roman" w:cs="Times New Roman"/>
            </w:rPr>
          </w:pPr>
          <w:r w:rsidRPr="00857CA1">
            <w:rPr>
              <w:rFonts w:ascii="Times New Roman" w:hAnsi="Times New Roman" w:cs="Times New Roman"/>
            </w:rPr>
            <w:t>24.01.2025</w:t>
          </w:r>
        </w:p>
      </w:tc>
      <w:tc>
        <w:tcPr>
          <w:tcW w:w="1719" w:type="dxa"/>
          <w:vAlign w:val="center"/>
        </w:tcPr>
        <w:p w14:paraId="54E19829" w14:textId="77777777" w:rsidR="0051049B" w:rsidRPr="00837053" w:rsidRDefault="0051049B" w:rsidP="0051049B">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3" w:type="dxa"/>
          <w:vAlign w:val="center"/>
        </w:tcPr>
        <w:p w14:paraId="6D973C33" w14:textId="77777777" w:rsidR="0051049B" w:rsidRPr="00837053" w:rsidRDefault="0051049B" w:rsidP="0051049B">
          <w:pPr>
            <w:rPr>
              <w:rFonts w:ascii="Times New Roman" w:hAnsi="Times New Roman" w:cs="Times New Roman"/>
            </w:rPr>
          </w:pPr>
          <w:r w:rsidRPr="00837053">
            <w:rPr>
              <w:rFonts w:ascii="Times New Roman" w:hAnsi="Times New Roman" w:cs="Times New Roman"/>
            </w:rPr>
            <w:t>-</w:t>
          </w:r>
        </w:p>
      </w:tc>
    </w:tr>
    <w:tr w:rsidR="0051049B" w:rsidRPr="00B36592" w14:paraId="77D776E6" w14:textId="77777777" w:rsidTr="00712433">
      <w:trPr>
        <w:trHeight w:hRule="exact" w:val="277"/>
      </w:trPr>
      <w:tc>
        <w:tcPr>
          <w:tcW w:w="1701" w:type="dxa"/>
          <w:vMerge/>
          <w:vAlign w:val="center"/>
        </w:tcPr>
        <w:p w14:paraId="794F8493" w14:textId="77777777" w:rsidR="0051049B" w:rsidRPr="00B36592" w:rsidRDefault="0051049B" w:rsidP="0051049B">
          <w:pPr>
            <w:rPr>
              <w:sz w:val="20"/>
            </w:rPr>
          </w:pPr>
        </w:p>
      </w:tc>
      <w:tc>
        <w:tcPr>
          <w:tcW w:w="4584" w:type="dxa"/>
          <w:gridSpan w:val="2"/>
          <w:vAlign w:val="center"/>
        </w:tcPr>
        <w:p w14:paraId="7A9DEBF1" w14:textId="77777777" w:rsidR="0051049B" w:rsidRPr="00837053" w:rsidRDefault="0051049B" w:rsidP="0051049B">
          <w:pPr>
            <w:keepNext/>
            <w:ind w:left="-142" w:right="-219"/>
            <w:outlineLvl w:val="0"/>
            <w:rPr>
              <w:rFonts w:ascii="Times New Roman" w:hAnsi="Times New Roman" w:cs="Times New Roman"/>
            </w:rPr>
          </w:pPr>
        </w:p>
      </w:tc>
      <w:tc>
        <w:tcPr>
          <w:tcW w:w="1719" w:type="dxa"/>
          <w:vAlign w:val="center"/>
        </w:tcPr>
        <w:p w14:paraId="1771762A" w14:textId="77777777" w:rsidR="0051049B" w:rsidRPr="00837053" w:rsidRDefault="0051049B" w:rsidP="0051049B">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3" w:type="dxa"/>
          <w:vAlign w:val="center"/>
        </w:tcPr>
        <w:sdt>
          <w:sdtPr>
            <w:id w:val="527216409"/>
            <w:docPartObj>
              <w:docPartGallery w:val="Page Numbers (Bottom of Page)"/>
              <w:docPartUnique/>
            </w:docPartObj>
          </w:sdtPr>
          <w:sdtContent>
            <w:p w14:paraId="12B7091F" w14:textId="1EA12C26" w:rsidR="0051049B" w:rsidRDefault="0051049B" w:rsidP="0051049B">
              <w:pPr>
                <w:pStyle w:val="AltBilgi"/>
              </w:pPr>
              <w:r>
                <w:t>3</w:t>
              </w:r>
            </w:p>
          </w:sdtContent>
        </w:sdt>
        <w:p w14:paraId="76CED53D" w14:textId="21775F6D" w:rsidR="0051049B" w:rsidRPr="00837053" w:rsidRDefault="0051049B" w:rsidP="0051049B">
          <w:pPr>
            <w:rPr>
              <w:rFonts w:ascii="Times New Roman" w:hAnsi="Times New Roman" w:cs="Times New Roman"/>
            </w:rPr>
          </w:pPr>
        </w:p>
      </w:tc>
    </w:tr>
    <w:bookmarkEnd w:id="2"/>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0FAE" w14:textId="77777777" w:rsidR="00DB2A5D" w:rsidRDefault="00DB2A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0630CBB"/>
    <w:multiLevelType w:val="hybridMultilevel"/>
    <w:tmpl w:val="7D9430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005E08"/>
    <w:multiLevelType w:val="hybridMultilevel"/>
    <w:tmpl w:val="58983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768235055">
    <w:abstractNumId w:val="0"/>
  </w:num>
  <w:num w:numId="2" w16cid:durableId="778914689">
    <w:abstractNumId w:val="3"/>
  </w:num>
  <w:num w:numId="3" w16cid:durableId="924731013">
    <w:abstractNumId w:val="1"/>
  </w:num>
  <w:num w:numId="4" w16cid:durableId="16227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016A6"/>
    <w:rsid w:val="001C0EF4"/>
    <w:rsid w:val="001E384D"/>
    <w:rsid w:val="001F209C"/>
    <w:rsid w:val="00216B3D"/>
    <w:rsid w:val="002A387E"/>
    <w:rsid w:val="00316953"/>
    <w:rsid w:val="00404A2A"/>
    <w:rsid w:val="00453B44"/>
    <w:rsid w:val="004A1EE1"/>
    <w:rsid w:val="0051049B"/>
    <w:rsid w:val="00521708"/>
    <w:rsid w:val="00535CA6"/>
    <w:rsid w:val="005457E7"/>
    <w:rsid w:val="005971EC"/>
    <w:rsid w:val="005B2C99"/>
    <w:rsid w:val="005B5895"/>
    <w:rsid w:val="005D3B33"/>
    <w:rsid w:val="005F3EF5"/>
    <w:rsid w:val="0060332B"/>
    <w:rsid w:val="006756EB"/>
    <w:rsid w:val="006930F9"/>
    <w:rsid w:val="006931FF"/>
    <w:rsid w:val="006D13C6"/>
    <w:rsid w:val="00712433"/>
    <w:rsid w:val="007746F3"/>
    <w:rsid w:val="00794F1C"/>
    <w:rsid w:val="007A6443"/>
    <w:rsid w:val="007C537B"/>
    <w:rsid w:val="00802837"/>
    <w:rsid w:val="008D6178"/>
    <w:rsid w:val="008F116D"/>
    <w:rsid w:val="009067E7"/>
    <w:rsid w:val="00927E18"/>
    <w:rsid w:val="00936FFD"/>
    <w:rsid w:val="009F1FE1"/>
    <w:rsid w:val="00AC420E"/>
    <w:rsid w:val="00AC5A68"/>
    <w:rsid w:val="00AD2629"/>
    <w:rsid w:val="00B00785"/>
    <w:rsid w:val="00B27D70"/>
    <w:rsid w:val="00B319A9"/>
    <w:rsid w:val="00B33F63"/>
    <w:rsid w:val="00B43330"/>
    <w:rsid w:val="00B850A5"/>
    <w:rsid w:val="00CC317F"/>
    <w:rsid w:val="00D20206"/>
    <w:rsid w:val="00DB2A5D"/>
    <w:rsid w:val="00DF3A90"/>
    <w:rsid w:val="00E2125A"/>
    <w:rsid w:val="00ED4AD9"/>
    <w:rsid w:val="00FF6A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8E696B7B-DC39-491C-975E-190EC24D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5971EC"/>
    <w:pPr>
      <w:keepNext/>
      <w:widowControl/>
      <w:autoSpaceDE/>
      <w:autoSpaceDN/>
      <w:spacing w:line="360" w:lineRule="auto"/>
      <w:ind w:firstLine="708"/>
      <w:outlineLvl w:val="2"/>
    </w:pPr>
    <w:rPr>
      <w:rFonts w:ascii="Tahoma" w:eastAsia="Times New Roman" w:hAnsi="Tahoma" w:cs="Times New Roman"/>
      <w:b/>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rsid w:val="005971EC"/>
    <w:rPr>
      <w:rFonts w:ascii="Tahoma" w:eastAsia="Times New Roman" w:hAnsi="Tahoma" w:cs="Times New Roman"/>
      <w:b/>
      <w:szCs w:val="20"/>
      <w:u w:val="single"/>
      <w:lang w:val="tr-TR" w:eastAsia="tr-TR"/>
    </w:rPr>
  </w:style>
  <w:style w:type="paragraph" w:customStyle="1" w:styleId="Default">
    <w:name w:val="Default"/>
    <w:rsid w:val="005971EC"/>
    <w:pPr>
      <w:widowControl/>
      <w:adjustRightInd w:val="0"/>
    </w:pPr>
    <w:rPr>
      <w:rFonts w:ascii="Times New Roman" w:eastAsia="Calibri" w:hAnsi="Times New Roman" w:cs="Times New Roman"/>
      <w:color w:val="000000"/>
      <w:sz w:val="24"/>
      <w:szCs w:val="24"/>
      <w:lang w:val="tr-TR"/>
    </w:rPr>
  </w:style>
  <w:style w:type="paragraph" w:styleId="GvdeMetniGirintisi2">
    <w:name w:val="Body Text Indent 2"/>
    <w:basedOn w:val="Normal"/>
    <w:link w:val="GvdeMetniGirintisi2Char"/>
    <w:uiPriority w:val="99"/>
    <w:unhideWhenUsed/>
    <w:rsid w:val="005971EC"/>
    <w:pPr>
      <w:widowControl/>
      <w:autoSpaceDE/>
      <w:autoSpaceDN/>
      <w:spacing w:after="120" w:line="480" w:lineRule="auto"/>
      <w:ind w:left="283"/>
    </w:pPr>
    <w:rPr>
      <w:rFonts w:ascii="Calibri" w:eastAsia="Calibri" w:hAnsi="Calibri" w:cs="Times New Roman"/>
      <w:lang w:val="tr-TR"/>
    </w:rPr>
  </w:style>
  <w:style w:type="character" w:customStyle="1" w:styleId="GvdeMetniGirintisi2Char">
    <w:name w:val="Gövde Metni Girintisi 2 Char"/>
    <w:basedOn w:val="VarsaylanParagrafYazTipi"/>
    <w:link w:val="GvdeMetniGirintisi2"/>
    <w:uiPriority w:val="99"/>
    <w:rsid w:val="005971EC"/>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664</Words>
  <Characters>3786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2024-04-22T10:54:00Z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