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BA02" w14:textId="77777777" w:rsidR="00B32FD0" w:rsidRDefault="00B32FD0" w:rsidP="00EC3804">
      <w:pPr>
        <w:widowControl/>
        <w:autoSpaceDE/>
        <w:autoSpaceDN/>
        <w:spacing w:after="160" w:line="360" w:lineRule="auto"/>
        <w:contextualSpacing/>
        <w:jc w:val="both"/>
        <w:rPr>
          <w:rFonts w:ascii="Times New Roman" w:hAnsi="Times New Roman"/>
          <w:b/>
          <w:bCs/>
        </w:rPr>
      </w:pPr>
    </w:p>
    <w:p w14:paraId="188D2DC7" w14:textId="06C9BA38" w:rsidR="00EC3804" w:rsidRPr="00CC6259" w:rsidRDefault="00EC3804" w:rsidP="00EC3804">
      <w:pPr>
        <w:pStyle w:val="ListeParagraf"/>
        <w:widowControl/>
        <w:numPr>
          <w:ilvl w:val="0"/>
          <w:numId w:val="1"/>
        </w:numPr>
        <w:autoSpaceDE/>
        <w:autoSpaceDN/>
        <w:spacing w:after="160" w:line="360" w:lineRule="auto"/>
        <w:contextualSpacing/>
        <w:jc w:val="both"/>
        <w:rPr>
          <w:rFonts w:ascii="Times New Roman" w:hAnsi="Times New Roman"/>
          <w:b/>
          <w:bCs/>
        </w:rPr>
      </w:pPr>
      <w:r w:rsidRPr="00CC6259">
        <w:rPr>
          <w:rFonts w:ascii="Times New Roman" w:hAnsi="Times New Roman"/>
          <w:b/>
          <w:bCs/>
        </w:rPr>
        <w:t>AMAÇ</w:t>
      </w:r>
    </w:p>
    <w:p w14:paraId="7B21F685" w14:textId="4C3E1FA3" w:rsidR="00EC3804" w:rsidRPr="00CC6259" w:rsidRDefault="00CC6259" w:rsidP="00EC3804">
      <w:pPr>
        <w:spacing w:line="360" w:lineRule="auto"/>
        <w:ind w:firstLine="567"/>
        <w:jc w:val="both"/>
        <w:rPr>
          <w:rFonts w:ascii="Times New Roman" w:hAnsi="Times New Roman"/>
        </w:rPr>
      </w:pPr>
      <w:r w:rsidRPr="00CC6259">
        <w:rPr>
          <w:rFonts w:ascii="Times New Roman" w:hAnsi="Times New Roman"/>
        </w:rPr>
        <w:t xml:space="preserve">İskenderun Teknik Üniversitesi, </w:t>
      </w:r>
      <w:r w:rsidR="00EC3804" w:rsidRPr="00CC6259">
        <w:rPr>
          <w:rFonts w:ascii="Times New Roman" w:hAnsi="Times New Roman"/>
        </w:rPr>
        <w:t>Bilim ve Teknoloji Uygulama ve Araştırma Merkezi (İSTE-BTM) laboratuvarının yönetim sistemini ve analiz faaliyetlerini düzenli aralıklarla ve önceden belirlenmiş olan periyotlarla gözden geçirilmesini, Kalite Yönetim Sisteminin uygunluk ve etkinliğin sürekliliğini sağlamak, gerekli değişiklik ve ilerlemeleri gerçekleştirmektir.</w:t>
      </w:r>
    </w:p>
    <w:p w14:paraId="60FB343E" w14:textId="77777777" w:rsidR="00EC3804" w:rsidRPr="00CC6259" w:rsidRDefault="00EC3804" w:rsidP="00EC3804">
      <w:pPr>
        <w:pStyle w:val="ListeParagraf"/>
        <w:widowControl/>
        <w:numPr>
          <w:ilvl w:val="0"/>
          <w:numId w:val="1"/>
        </w:numPr>
        <w:autoSpaceDE/>
        <w:autoSpaceDN/>
        <w:spacing w:after="160" w:line="360" w:lineRule="auto"/>
        <w:contextualSpacing/>
        <w:jc w:val="both"/>
        <w:rPr>
          <w:rFonts w:ascii="Times New Roman" w:hAnsi="Times New Roman"/>
          <w:b/>
          <w:bCs/>
        </w:rPr>
      </w:pPr>
      <w:r w:rsidRPr="00CC6259">
        <w:rPr>
          <w:rFonts w:ascii="Times New Roman" w:hAnsi="Times New Roman"/>
          <w:b/>
          <w:bCs/>
        </w:rPr>
        <w:t>KAPSAM</w:t>
      </w:r>
    </w:p>
    <w:p w14:paraId="201005F8" w14:textId="77777777" w:rsidR="00EC3804" w:rsidRPr="00CC6259" w:rsidRDefault="00EC3804" w:rsidP="00EC3804">
      <w:pPr>
        <w:spacing w:line="360" w:lineRule="auto"/>
        <w:ind w:firstLine="567"/>
        <w:jc w:val="both"/>
        <w:rPr>
          <w:rFonts w:ascii="Times New Roman" w:hAnsi="Times New Roman"/>
        </w:rPr>
      </w:pPr>
      <w:r w:rsidRPr="00CC6259">
        <w:rPr>
          <w:rFonts w:ascii="Times New Roman" w:hAnsi="Times New Roman"/>
        </w:rPr>
        <w:t>İSTE-BTM Kalite Yönetim Sistemin, yönetiminin gözden geçirme çalışmalarının usul ve yöntemleriyle ilgili çalışmaları kapsar.</w:t>
      </w:r>
    </w:p>
    <w:p w14:paraId="21C1AD99" w14:textId="77777777" w:rsidR="00EC3804" w:rsidRPr="00CC6259" w:rsidRDefault="00EC3804" w:rsidP="00EC3804">
      <w:pPr>
        <w:pStyle w:val="ListeParagraf"/>
        <w:widowControl/>
        <w:numPr>
          <w:ilvl w:val="0"/>
          <w:numId w:val="1"/>
        </w:numPr>
        <w:autoSpaceDE/>
        <w:autoSpaceDN/>
        <w:spacing w:after="160" w:line="360" w:lineRule="auto"/>
        <w:contextualSpacing/>
        <w:jc w:val="both"/>
        <w:rPr>
          <w:rFonts w:ascii="Times New Roman" w:hAnsi="Times New Roman"/>
          <w:b/>
          <w:bCs/>
        </w:rPr>
      </w:pPr>
      <w:r w:rsidRPr="00CC6259">
        <w:rPr>
          <w:rFonts w:ascii="Times New Roman" w:hAnsi="Times New Roman"/>
          <w:b/>
          <w:bCs/>
        </w:rPr>
        <w:t>SORUMLULAR</w:t>
      </w:r>
    </w:p>
    <w:p w14:paraId="1E2D8A65" w14:textId="77777777" w:rsidR="00EC3804" w:rsidRPr="00CC6259" w:rsidRDefault="00EC3804" w:rsidP="00EC3804">
      <w:pPr>
        <w:spacing w:line="360" w:lineRule="auto"/>
        <w:ind w:right="846" w:firstLine="567"/>
        <w:jc w:val="both"/>
        <w:rPr>
          <w:rFonts w:ascii="Times New Roman" w:hAnsi="Times New Roman"/>
        </w:rPr>
      </w:pPr>
      <w:r w:rsidRPr="00CC6259">
        <w:rPr>
          <w:rFonts w:ascii="Times New Roman" w:hAnsi="Times New Roman"/>
        </w:rPr>
        <w:t>İSTE-BTM Üst Yönetimi ve Kalite Yöneticisi</w:t>
      </w:r>
    </w:p>
    <w:p w14:paraId="542306ED" w14:textId="77777777" w:rsidR="00EC3804" w:rsidRPr="00CC6259" w:rsidRDefault="00EC3804" w:rsidP="00EC3804">
      <w:pPr>
        <w:pStyle w:val="ListeParagraf"/>
        <w:widowControl/>
        <w:numPr>
          <w:ilvl w:val="0"/>
          <w:numId w:val="1"/>
        </w:numPr>
        <w:autoSpaceDE/>
        <w:autoSpaceDN/>
        <w:spacing w:after="160" w:line="360" w:lineRule="auto"/>
        <w:ind w:right="846"/>
        <w:contextualSpacing/>
        <w:jc w:val="both"/>
        <w:rPr>
          <w:rFonts w:ascii="Times New Roman" w:hAnsi="Times New Roman"/>
          <w:b/>
          <w:bCs/>
        </w:rPr>
      </w:pPr>
      <w:r w:rsidRPr="00CC6259">
        <w:rPr>
          <w:rFonts w:ascii="Times New Roman" w:hAnsi="Times New Roman"/>
          <w:b/>
          <w:bCs/>
        </w:rPr>
        <w:t>İLGİLİ BÖLÜMLER</w:t>
      </w:r>
    </w:p>
    <w:p w14:paraId="5ECDA1D0" w14:textId="77777777" w:rsidR="00EC3804" w:rsidRPr="00CC6259" w:rsidRDefault="00EC3804" w:rsidP="00EC3804">
      <w:pPr>
        <w:spacing w:line="360" w:lineRule="auto"/>
        <w:ind w:right="846" w:firstLine="567"/>
        <w:jc w:val="both"/>
        <w:rPr>
          <w:rFonts w:ascii="Times New Roman" w:hAnsi="Times New Roman"/>
        </w:rPr>
      </w:pPr>
      <w:r w:rsidRPr="00CC6259">
        <w:rPr>
          <w:rFonts w:ascii="Times New Roman" w:hAnsi="Times New Roman"/>
        </w:rPr>
        <w:t>Tüm İSTE-BTM birimleri</w:t>
      </w:r>
    </w:p>
    <w:p w14:paraId="11C5A219" w14:textId="77777777" w:rsidR="00EC3804" w:rsidRPr="00CC6259" w:rsidRDefault="00EC3804" w:rsidP="00EC3804">
      <w:pPr>
        <w:pStyle w:val="ListeParagraf"/>
        <w:widowControl/>
        <w:numPr>
          <w:ilvl w:val="0"/>
          <w:numId w:val="1"/>
        </w:numPr>
        <w:autoSpaceDE/>
        <w:autoSpaceDN/>
        <w:spacing w:after="160" w:line="360" w:lineRule="auto"/>
        <w:ind w:right="846"/>
        <w:contextualSpacing/>
        <w:jc w:val="both"/>
        <w:rPr>
          <w:rFonts w:ascii="Times New Roman" w:hAnsi="Times New Roman"/>
          <w:b/>
          <w:bCs/>
        </w:rPr>
      </w:pPr>
      <w:r w:rsidRPr="00CC6259">
        <w:rPr>
          <w:rFonts w:ascii="Times New Roman" w:hAnsi="Times New Roman"/>
          <w:b/>
          <w:bCs/>
        </w:rPr>
        <w:t>UYGULAMA</w:t>
      </w:r>
    </w:p>
    <w:p w14:paraId="65E86462" w14:textId="77777777" w:rsidR="00EC3804" w:rsidRPr="00CC6259" w:rsidRDefault="00EC3804" w:rsidP="00EC3804">
      <w:pPr>
        <w:pStyle w:val="ListeParagraf"/>
        <w:widowControl/>
        <w:numPr>
          <w:ilvl w:val="1"/>
          <w:numId w:val="1"/>
        </w:numPr>
        <w:autoSpaceDE/>
        <w:autoSpaceDN/>
        <w:spacing w:after="160" w:line="360" w:lineRule="auto"/>
        <w:ind w:right="846"/>
        <w:contextualSpacing/>
        <w:jc w:val="both"/>
        <w:rPr>
          <w:rFonts w:ascii="Times New Roman" w:hAnsi="Times New Roman"/>
          <w:b/>
          <w:bCs/>
        </w:rPr>
      </w:pPr>
      <w:r w:rsidRPr="00CC6259">
        <w:rPr>
          <w:rFonts w:ascii="Times New Roman" w:hAnsi="Times New Roman"/>
          <w:b/>
          <w:bCs/>
        </w:rPr>
        <w:t>Yönetimin Gözden Geçirme Toplantısı’nın Planlanması-Duyurulması</w:t>
      </w:r>
    </w:p>
    <w:p w14:paraId="1F5FF27F" w14:textId="77777777" w:rsidR="00EC3804" w:rsidRPr="00CC6259" w:rsidRDefault="00EC3804" w:rsidP="00EC3804">
      <w:pPr>
        <w:spacing w:line="360" w:lineRule="auto"/>
        <w:ind w:right="846" w:firstLine="567"/>
        <w:jc w:val="both"/>
        <w:rPr>
          <w:rFonts w:ascii="Times New Roman" w:hAnsi="Times New Roman"/>
        </w:rPr>
      </w:pPr>
      <w:r w:rsidRPr="00CC6259">
        <w:rPr>
          <w:rFonts w:ascii="Times New Roman" w:hAnsi="Times New Roman"/>
        </w:rPr>
        <w:t>İSTE-BTM laboratuvarında “TS EN ISO/IEC 17025 “Deney ve Kalibrasyon Laboratuvarlarının Yetkinliği İçin Genel Gereklilikler” standardına göre kurulmuş olan Kalite Yönetim Sisteminin, belirlenen hedeflerin ve kurulmuş olan sistemin kurulmuş olan sisteminin Kalite Politikası ve hedefler doğrultusunda etkin bir şekilde yaşatılmasını ve sürekli olarak iyileştirilmesini sağlamak amacıyla yılda en az bir kez tercihen ocak ayında Yönetimin Gözden Geçirme Toplantısı (YGG) yapılır. Toplantıya Laboratuvar Müdürü, Müdür Yardımcısı, Kalite Yöneticisi ve gerektiğinde diğer Bölüm Sorumluları katılır.  Toplantının gündemi, yeri ve zamanı Kalite Yöneticisi tarafından katılımcılara 15 gün önceden bildirilerek teyit istenir. Kalite Yöneticisi, girdilerde belirtilen raporlardan derlediği bilgiler ve TS EN ISO/IEC 17025 standardı beklentileri doğrultusunda toplantının gündemini belirler ve ilgili ön raporu, toplantıdan önce katılımcılara sunar.</w:t>
      </w:r>
    </w:p>
    <w:p w14:paraId="3EE6C562" w14:textId="77777777" w:rsidR="00EC3804" w:rsidRPr="00CC6259" w:rsidRDefault="00EC3804" w:rsidP="00EC3804">
      <w:pPr>
        <w:pStyle w:val="ListeParagraf"/>
        <w:widowControl/>
        <w:numPr>
          <w:ilvl w:val="1"/>
          <w:numId w:val="1"/>
        </w:numPr>
        <w:autoSpaceDE/>
        <w:autoSpaceDN/>
        <w:spacing w:after="160" w:line="360" w:lineRule="auto"/>
        <w:ind w:right="846"/>
        <w:contextualSpacing/>
        <w:jc w:val="both"/>
        <w:rPr>
          <w:rFonts w:ascii="Times New Roman" w:hAnsi="Times New Roman"/>
          <w:b/>
          <w:bCs/>
        </w:rPr>
      </w:pPr>
      <w:r w:rsidRPr="00CC6259">
        <w:rPr>
          <w:rFonts w:ascii="Times New Roman" w:hAnsi="Times New Roman"/>
          <w:b/>
          <w:bCs/>
        </w:rPr>
        <w:t>Toplantı Gündemi</w:t>
      </w:r>
    </w:p>
    <w:p w14:paraId="362F12E0" w14:textId="77777777" w:rsidR="00EC3804" w:rsidRPr="00CC6259" w:rsidRDefault="00EC3804" w:rsidP="00EC3804">
      <w:pPr>
        <w:spacing w:line="360" w:lineRule="auto"/>
        <w:ind w:right="846" w:firstLine="567"/>
        <w:jc w:val="both"/>
        <w:rPr>
          <w:rFonts w:ascii="Times New Roman" w:hAnsi="Times New Roman"/>
        </w:rPr>
      </w:pPr>
      <w:r w:rsidRPr="00CC6259">
        <w:rPr>
          <w:rFonts w:ascii="Times New Roman" w:hAnsi="Times New Roman"/>
        </w:rPr>
        <w:t>Gözden geçirme sırasında TS EN ISO/IEC 17025 standardının 4.15 maddesine göre aşağıda yer alan konu başlıkları değerlendirilir:</w:t>
      </w:r>
    </w:p>
    <w:p w14:paraId="46F3DFC9"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lastRenderedPageBreak/>
        <w:t>Politika, Hedefler ve Prosedürlerin Gözden Geçirilmesi</w:t>
      </w:r>
    </w:p>
    <w:p w14:paraId="14DCF5A4"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İç ve Dış Denetim Sonuçları</w:t>
      </w:r>
    </w:p>
    <w:p w14:paraId="7BC86353"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Müşteri Şikayet ve Memnuniyet Değerlendirmeleri</w:t>
      </w:r>
    </w:p>
    <w:p w14:paraId="519763AF"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Düzeltici ve Önleyici Faaliyetler</w:t>
      </w:r>
    </w:p>
    <w:p w14:paraId="37D80638"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Laboratuvar çalışmalarının hacmindeki, tipindeki değişiklikler</w:t>
      </w:r>
    </w:p>
    <w:p w14:paraId="75735D6B"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Laboratuvarlar arası karşılaştırma ve yeterlik analizlerinin sonuçları</w:t>
      </w:r>
    </w:p>
    <w:p w14:paraId="65D3D239"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Yönetici ve Yönlendirici Personelin Raporları</w:t>
      </w:r>
    </w:p>
    <w:p w14:paraId="0A34B465"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Tedarikçi Değerlendirmeleri</w:t>
      </w:r>
    </w:p>
    <w:p w14:paraId="22F93872"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İyileştirme</w:t>
      </w:r>
    </w:p>
    <w:p w14:paraId="4DF73844"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Kalite Kontrol faaliyetleri, kaynaklar ve eleman eğitimleri</w:t>
      </w:r>
    </w:p>
    <w:p w14:paraId="20367427" w14:textId="77777777" w:rsidR="00EC3804" w:rsidRPr="00CC6259" w:rsidRDefault="00EC3804" w:rsidP="00EC3804">
      <w:pPr>
        <w:pStyle w:val="ListeParagraf"/>
        <w:widowControl/>
        <w:numPr>
          <w:ilvl w:val="0"/>
          <w:numId w:val="2"/>
        </w:numPr>
        <w:autoSpaceDE/>
        <w:autoSpaceDN/>
        <w:spacing w:after="160" w:line="360" w:lineRule="auto"/>
        <w:ind w:right="846"/>
        <w:contextualSpacing/>
        <w:jc w:val="both"/>
        <w:rPr>
          <w:rFonts w:ascii="Times New Roman" w:hAnsi="Times New Roman"/>
        </w:rPr>
      </w:pPr>
      <w:r w:rsidRPr="00CC6259">
        <w:rPr>
          <w:rFonts w:ascii="Times New Roman" w:hAnsi="Times New Roman"/>
        </w:rPr>
        <w:t>Bir önceki YGG toplantı kararlarının takibi</w:t>
      </w:r>
    </w:p>
    <w:p w14:paraId="6412C1C6" w14:textId="77777777" w:rsidR="00EC3804" w:rsidRPr="00CC6259" w:rsidRDefault="00EC3804" w:rsidP="00EC3804">
      <w:pPr>
        <w:spacing w:line="360" w:lineRule="auto"/>
        <w:ind w:right="846"/>
        <w:jc w:val="both"/>
        <w:rPr>
          <w:rFonts w:ascii="Times New Roman" w:hAnsi="Times New Roman"/>
        </w:rPr>
      </w:pPr>
    </w:p>
    <w:p w14:paraId="3EA0BF51" w14:textId="77777777" w:rsidR="00EC3804" w:rsidRPr="00CC6259" w:rsidRDefault="00EC3804" w:rsidP="00EC3804">
      <w:pPr>
        <w:pStyle w:val="ListeParagraf"/>
        <w:widowControl/>
        <w:numPr>
          <w:ilvl w:val="1"/>
          <w:numId w:val="1"/>
        </w:numPr>
        <w:autoSpaceDE/>
        <w:autoSpaceDN/>
        <w:spacing w:after="160" w:line="360" w:lineRule="auto"/>
        <w:ind w:right="846"/>
        <w:contextualSpacing/>
        <w:jc w:val="both"/>
        <w:rPr>
          <w:rFonts w:ascii="Times New Roman" w:hAnsi="Times New Roman"/>
          <w:b/>
          <w:bCs/>
        </w:rPr>
      </w:pPr>
      <w:r w:rsidRPr="00CC6259">
        <w:rPr>
          <w:rFonts w:ascii="Times New Roman" w:hAnsi="Times New Roman"/>
          <w:b/>
          <w:bCs/>
        </w:rPr>
        <w:t>Toplantı Raporunun Hazırlanması</w:t>
      </w:r>
    </w:p>
    <w:p w14:paraId="37D85FF7" w14:textId="77777777" w:rsidR="00EC3804" w:rsidRPr="00CC6259" w:rsidRDefault="00EC3804" w:rsidP="00EC3804">
      <w:pPr>
        <w:spacing w:line="360" w:lineRule="auto"/>
        <w:ind w:right="846" w:firstLine="567"/>
        <w:jc w:val="both"/>
        <w:rPr>
          <w:rFonts w:ascii="Times New Roman" w:hAnsi="Times New Roman"/>
        </w:rPr>
      </w:pPr>
      <w:r w:rsidRPr="00CC6259">
        <w:rPr>
          <w:rFonts w:ascii="Times New Roman" w:hAnsi="Times New Roman"/>
        </w:rPr>
        <w:t xml:space="preserve">YGG Toplantısı sonucunda alınan kararlar; yapılacak faaliyetler, sorumluluklar, planlanan bitiş sürelerinin de belirtildiği Yönetimin Gözden Geçirmesi Toplantı Raporu ile kayıt altına alınır ve Laboratuvar Müdürüne sunulur. </w:t>
      </w:r>
    </w:p>
    <w:p w14:paraId="5B6CAEB3" w14:textId="36978FF0" w:rsidR="00EC3804" w:rsidRPr="00CC6259" w:rsidRDefault="00EC3804" w:rsidP="00EC3804">
      <w:pPr>
        <w:spacing w:line="360" w:lineRule="auto"/>
        <w:ind w:right="846"/>
        <w:jc w:val="both"/>
        <w:rPr>
          <w:rFonts w:ascii="Times New Roman" w:hAnsi="Times New Roman"/>
        </w:rPr>
      </w:pPr>
      <w:r w:rsidRPr="00CC6259">
        <w:rPr>
          <w:rFonts w:ascii="Times New Roman" w:hAnsi="Times New Roman"/>
        </w:rPr>
        <w:t xml:space="preserve">  </w:t>
      </w:r>
      <w:r w:rsidRPr="00CC6259">
        <w:rPr>
          <w:rFonts w:ascii="Times New Roman" w:hAnsi="Times New Roman"/>
        </w:rPr>
        <w:tab/>
        <w:t>Bu prosedürün işletilmesiyle ortaya çıkan kayıtlar Kayıtların Kontrolü Prosedürü doğrultusunda muhafaza edilir.</w:t>
      </w:r>
    </w:p>
    <w:p w14:paraId="7376FC1E" w14:textId="77777777" w:rsidR="00EC3804" w:rsidRPr="00CC6259" w:rsidRDefault="00EC3804" w:rsidP="00EC3804">
      <w:pPr>
        <w:spacing w:line="360" w:lineRule="auto"/>
        <w:ind w:right="846"/>
        <w:jc w:val="both"/>
        <w:rPr>
          <w:rFonts w:ascii="Times New Roman" w:hAnsi="Times New Roman"/>
        </w:rPr>
      </w:pPr>
    </w:p>
    <w:p w14:paraId="36B2FBBE" w14:textId="77777777" w:rsidR="00EC3804" w:rsidRPr="00CC6259" w:rsidRDefault="00EC3804" w:rsidP="00EC3804">
      <w:pPr>
        <w:pStyle w:val="ListeParagraf"/>
        <w:widowControl/>
        <w:numPr>
          <w:ilvl w:val="0"/>
          <w:numId w:val="1"/>
        </w:numPr>
        <w:autoSpaceDE/>
        <w:autoSpaceDN/>
        <w:spacing w:after="160" w:line="360" w:lineRule="auto"/>
        <w:ind w:right="846"/>
        <w:contextualSpacing/>
        <w:jc w:val="both"/>
        <w:rPr>
          <w:rFonts w:ascii="Times New Roman" w:hAnsi="Times New Roman"/>
        </w:rPr>
      </w:pPr>
      <w:r w:rsidRPr="00CC6259">
        <w:rPr>
          <w:rFonts w:ascii="Times New Roman" w:hAnsi="Times New Roman"/>
          <w:b/>
          <w:bCs/>
        </w:rPr>
        <w:t>İLGİLİ DOKÜMANLAR</w:t>
      </w:r>
    </w:p>
    <w:p w14:paraId="0B7070C8" w14:textId="77777777" w:rsidR="00EC3804" w:rsidRPr="00CC6259" w:rsidRDefault="00EC3804" w:rsidP="00EC3804">
      <w:pPr>
        <w:pStyle w:val="ListeParagraf"/>
        <w:widowControl/>
        <w:numPr>
          <w:ilvl w:val="0"/>
          <w:numId w:val="3"/>
        </w:numPr>
        <w:autoSpaceDE/>
        <w:autoSpaceDN/>
        <w:spacing w:after="160" w:line="360" w:lineRule="auto"/>
        <w:ind w:right="846"/>
        <w:contextualSpacing/>
        <w:jc w:val="both"/>
        <w:rPr>
          <w:rFonts w:ascii="Times New Roman" w:hAnsi="Times New Roman"/>
        </w:rPr>
      </w:pPr>
      <w:r w:rsidRPr="00CC6259">
        <w:rPr>
          <w:rFonts w:ascii="Times New Roman" w:hAnsi="Times New Roman"/>
        </w:rPr>
        <w:t>TS EN ISO/IEC 17025 (Güncel Revizyon)</w:t>
      </w:r>
    </w:p>
    <w:p w14:paraId="5395B2E0" w14:textId="056963AE" w:rsidR="00316953" w:rsidRPr="00CF6CDE" w:rsidRDefault="00EC3804" w:rsidP="00CF6CDE">
      <w:pPr>
        <w:pStyle w:val="ListeParagraf"/>
        <w:widowControl/>
        <w:numPr>
          <w:ilvl w:val="0"/>
          <w:numId w:val="3"/>
        </w:numPr>
        <w:autoSpaceDE/>
        <w:autoSpaceDN/>
        <w:spacing w:after="160" w:line="360" w:lineRule="auto"/>
        <w:ind w:right="846"/>
        <w:contextualSpacing/>
        <w:jc w:val="both"/>
        <w:rPr>
          <w:rFonts w:ascii="Times New Roman" w:hAnsi="Times New Roman"/>
        </w:rPr>
      </w:pPr>
      <w:r w:rsidRPr="00CC6259">
        <w:rPr>
          <w:rFonts w:ascii="Times New Roman" w:hAnsi="Times New Roman"/>
        </w:rPr>
        <w:t>Kayıtların Kontrolü Prosedürü</w:t>
      </w:r>
    </w:p>
    <w:p w14:paraId="537B9CFE" w14:textId="77777777" w:rsidR="00316953" w:rsidRPr="00CC6259" w:rsidRDefault="00316953">
      <w:pPr>
        <w:pStyle w:val="KonuBal"/>
      </w:pPr>
    </w:p>
    <w:p w14:paraId="41513C7F" w14:textId="77777777" w:rsidR="00316953" w:rsidRPr="00CC6259" w:rsidRDefault="00316953">
      <w:pPr>
        <w:pStyle w:val="KonuBal"/>
      </w:pPr>
    </w:p>
    <w:p w14:paraId="13C5D1DA" w14:textId="77777777" w:rsidR="00316953" w:rsidRDefault="00316953">
      <w:pPr>
        <w:pStyle w:val="KonuBal"/>
        <w:rPr>
          <w:sz w:val="20"/>
        </w:rPr>
      </w:pPr>
    </w:p>
    <w:sectPr w:rsidR="00316953" w:rsidSect="001F11E7">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374CB" w14:textId="77777777" w:rsidR="00984C24" w:rsidRDefault="00984C24" w:rsidP="007746F3">
      <w:r>
        <w:separator/>
      </w:r>
    </w:p>
  </w:endnote>
  <w:endnote w:type="continuationSeparator" w:id="0">
    <w:p w14:paraId="5AED4599" w14:textId="77777777" w:rsidR="00984C24" w:rsidRDefault="00984C2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517E" w14:textId="77777777" w:rsidR="00CF6CDE" w:rsidRDefault="00CF6CD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7746F3" w14:paraId="633DDC21" w14:textId="77777777" w:rsidTr="00B32FD0">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1881658E"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p>
        <w:p w14:paraId="25BB067B" w14:textId="48460805" w:rsidR="007746F3" w:rsidRDefault="00230BC7" w:rsidP="007372C3">
          <w:pPr>
            <w:tabs>
              <w:tab w:val="center" w:pos="4536"/>
              <w:tab w:val="right" w:pos="9072"/>
            </w:tabs>
            <w:jc w:val="center"/>
            <w:rPr>
              <w:rFonts w:ascii="Times New Roman" w:hAnsi="Times New Roman" w:cs="Times New Roman"/>
              <w:b/>
              <w:sz w:val="16"/>
              <w:szCs w:val="16"/>
            </w:rPr>
          </w:pPr>
          <w:r w:rsidRPr="00230BC7">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BC0C" w14:textId="77777777" w:rsidR="00CF6CDE" w:rsidRDefault="00CF6C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8F60" w14:textId="77777777" w:rsidR="00984C24" w:rsidRDefault="00984C24" w:rsidP="007746F3">
      <w:r>
        <w:separator/>
      </w:r>
    </w:p>
  </w:footnote>
  <w:footnote w:type="continuationSeparator" w:id="0">
    <w:p w14:paraId="56EB99B0" w14:textId="77777777" w:rsidR="00984C24" w:rsidRDefault="00984C2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94C7" w14:textId="77777777" w:rsidR="00CF6CDE" w:rsidRDefault="00CF6C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6FADEBC0" w:rsidR="007746F3" w:rsidRDefault="007746F3">
    <w:pPr>
      <w:pStyle w:val="stBilgi"/>
    </w:pPr>
  </w:p>
  <w:tbl>
    <w:tblPr>
      <w:tblStyle w:val="TabloKlavuzu"/>
      <w:tblW w:w="9781" w:type="dxa"/>
      <w:tblInd w:w="-5" w:type="dxa"/>
      <w:tblLook w:val="04A0" w:firstRow="1" w:lastRow="0" w:firstColumn="1" w:lastColumn="0" w:noHBand="0" w:noVBand="1"/>
    </w:tblPr>
    <w:tblGrid>
      <w:gridCol w:w="1843"/>
      <w:gridCol w:w="1985"/>
      <w:gridCol w:w="2431"/>
      <w:gridCol w:w="1713"/>
      <w:gridCol w:w="1809"/>
    </w:tblGrid>
    <w:tr w:rsidR="00CC6259" w:rsidRPr="00B36592" w14:paraId="27AC2E93" w14:textId="77777777" w:rsidTr="00B32FD0">
      <w:trPr>
        <w:trHeight w:val="699"/>
      </w:trPr>
      <w:tc>
        <w:tcPr>
          <w:tcW w:w="1843" w:type="dxa"/>
          <w:vMerge w:val="restart"/>
          <w:vAlign w:val="center"/>
        </w:tcPr>
        <w:p w14:paraId="2771A10F" w14:textId="77777777" w:rsidR="00CC6259" w:rsidRPr="00B36592" w:rsidRDefault="00CC6259" w:rsidP="007746F3">
          <w:pPr>
            <w:jc w:val="center"/>
            <w:rPr>
              <w:sz w:val="20"/>
            </w:rPr>
          </w:pPr>
          <w:bookmarkStart w:id="0" w:name="_Hlk150157118"/>
          <w:r w:rsidRPr="00B36592">
            <w:rPr>
              <w:noProof/>
              <w:sz w:val="20"/>
              <w:lang w:eastAsia="tr-TR"/>
            </w:rPr>
            <w:drawing>
              <wp:anchor distT="0" distB="0" distL="114300" distR="114300" simplePos="0" relativeHeight="251660800" behindDoc="0" locked="0" layoutInCell="1" allowOverlap="1" wp14:anchorId="1FF94B92" wp14:editId="5D4B3A43">
                <wp:simplePos x="0" y="0"/>
                <wp:positionH relativeFrom="column">
                  <wp:posOffset>44450</wp:posOffset>
                </wp:positionH>
                <wp:positionV relativeFrom="paragraph">
                  <wp:posOffset>31115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7938" w:type="dxa"/>
          <w:gridSpan w:val="4"/>
          <w:vAlign w:val="center"/>
        </w:tcPr>
        <w:p w14:paraId="4D3C91A4" w14:textId="01D9CD9D" w:rsidR="00CC6259" w:rsidRPr="00AC420E" w:rsidRDefault="00CC6259" w:rsidP="005B2C99">
          <w:pPr>
            <w:jc w:val="center"/>
            <w:rPr>
              <w:rFonts w:ascii="Times New Roman" w:hAnsi="Times New Roman" w:cs="Times New Roman"/>
              <w:sz w:val="20"/>
            </w:rPr>
          </w:pPr>
          <w:r w:rsidRPr="00EC3804">
            <w:rPr>
              <w:rFonts w:ascii="Times New Roman" w:hAnsi="Times New Roman" w:cs="Times New Roman"/>
            </w:rPr>
            <w:t xml:space="preserve">YÖNETİMİN GÖZDEN GEÇİRME </w:t>
          </w:r>
          <w:r w:rsidR="00CF6CDE" w:rsidRPr="00CF6CDE">
            <w:rPr>
              <w:rFonts w:ascii="Times New Roman" w:hAnsi="Times New Roman" w:cs="Times New Roman"/>
              <w:lang w:val="en-US"/>
            </w:rPr>
            <w:t>TALİMATI</w:t>
          </w:r>
        </w:p>
      </w:tc>
    </w:tr>
    <w:tr w:rsidR="007746F3" w:rsidRPr="00B36592" w14:paraId="6F2E117F" w14:textId="77777777" w:rsidTr="00B32FD0">
      <w:trPr>
        <w:trHeight w:hRule="exact" w:val="278"/>
      </w:trPr>
      <w:tc>
        <w:tcPr>
          <w:tcW w:w="1843" w:type="dxa"/>
          <w:vMerge/>
          <w:vAlign w:val="center"/>
        </w:tcPr>
        <w:p w14:paraId="138389C2" w14:textId="77777777" w:rsidR="007746F3" w:rsidRPr="00B36592" w:rsidRDefault="007746F3" w:rsidP="007746F3">
          <w:pPr>
            <w:rPr>
              <w:sz w:val="20"/>
            </w:rPr>
          </w:pPr>
        </w:p>
      </w:tc>
      <w:tc>
        <w:tcPr>
          <w:tcW w:w="1985"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431" w:type="dxa"/>
          <w:vAlign w:val="center"/>
        </w:tcPr>
        <w:p w14:paraId="528E9E3C" w14:textId="79154C30" w:rsidR="007746F3" w:rsidRPr="00837053" w:rsidRDefault="00934BB4" w:rsidP="007746F3">
          <w:pPr>
            <w:rPr>
              <w:rFonts w:ascii="Times New Roman" w:hAnsi="Times New Roman" w:cs="Times New Roman"/>
            </w:rPr>
          </w:pPr>
          <w:r>
            <w:rPr>
              <w:rFonts w:ascii="Times New Roman" w:hAnsi="Times New Roman" w:cs="Times New Roman"/>
            </w:rPr>
            <w:t>TLM-</w:t>
          </w:r>
          <w:r w:rsidR="007372C3">
            <w:rPr>
              <w:rFonts w:ascii="Times New Roman" w:hAnsi="Times New Roman" w:cs="Times New Roman"/>
            </w:rPr>
            <w:t>75</w:t>
          </w:r>
        </w:p>
      </w:tc>
      <w:tc>
        <w:tcPr>
          <w:tcW w:w="1713"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9"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0B2788" w:rsidRPr="00B36592" w14:paraId="5DED7287" w14:textId="77777777" w:rsidTr="00B32FD0">
      <w:trPr>
        <w:trHeight w:hRule="exact" w:val="266"/>
      </w:trPr>
      <w:tc>
        <w:tcPr>
          <w:tcW w:w="1843" w:type="dxa"/>
          <w:vMerge/>
          <w:vAlign w:val="center"/>
        </w:tcPr>
        <w:p w14:paraId="55622155" w14:textId="77777777" w:rsidR="000B2788" w:rsidRPr="00B36592" w:rsidRDefault="000B2788" w:rsidP="000B2788">
          <w:pPr>
            <w:rPr>
              <w:sz w:val="20"/>
            </w:rPr>
          </w:pPr>
        </w:p>
      </w:tc>
      <w:tc>
        <w:tcPr>
          <w:tcW w:w="1985" w:type="dxa"/>
          <w:vAlign w:val="center"/>
        </w:tcPr>
        <w:p w14:paraId="30A59ECF" w14:textId="77777777" w:rsidR="000B2788" w:rsidRPr="00837053" w:rsidRDefault="000B2788" w:rsidP="000B2788">
          <w:pPr>
            <w:rPr>
              <w:rFonts w:ascii="Times New Roman" w:hAnsi="Times New Roman" w:cs="Times New Roman"/>
            </w:rPr>
          </w:pPr>
          <w:r w:rsidRPr="00837053">
            <w:rPr>
              <w:rFonts w:ascii="Times New Roman" w:hAnsi="Times New Roman" w:cs="Times New Roman"/>
            </w:rPr>
            <w:t>İlk Yayın Tarihi</w:t>
          </w:r>
        </w:p>
      </w:tc>
      <w:tc>
        <w:tcPr>
          <w:tcW w:w="2431" w:type="dxa"/>
          <w:vAlign w:val="center"/>
        </w:tcPr>
        <w:p w14:paraId="5CCA3860" w14:textId="6061CF03" w:rsidR="000B2788" w:rsidRPr="00837053" w:rsidRDefault="000B2788" w:rsidP="000B2788">
          <w:pPr>
            <w:rPr>
              <w:rFonts w:ascii="Times New Roman" w:hAnsi="Times New Roman" w:cs="Times New Roman"/>
            </w:rPr>
          </w:pPr>
          <w:r w:rsidRPr="00857CA1">
            <w:rPr>
              <w:rFonts w:ascii="Times New Roman" w:hAnsi="Times New Roman" w:cs="Times New Roman"/>
            </w:rPr>
            <w:t>24.01.2025</w:t>
          </w:r>
        </w:p>
      </w:tc>
      <w:tc>
        <w:tcPr>
          <w:tcW w:w="1713" w:type="dxa"/>
          <w:vAlign w:val="center"/>
        </w:tcPr>
        <w:p w14:paraId="54E19829" w14:textId="77777777" w:rsidR="000B2788" w:rsidRPr="00837053" w:rsidRDefault="000B2788" w:rsidP="000B2788">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9" w:type="dxa"/>
          <w:vAlign w:val="center"/>
        </w:tcPr>
        <w:p w14:paraId="6D973C33" w14:textId="77777777" w:rsidR="000B2788" w:rsidRPr="00837053" w:rsidRDefault="000B2788" w:rsidP="000B2788">
          <w:pPr>
            <w:rPr>
              <w:rFonts w:ascii="Times New Roman" w:hAnsi="Times New Roman" w:cs="Times New Roman"/>
            </w:rPr>
          </w:pPr>
          <w:r w:rsidRPr="00837053">
            <w:rPr>
              <w:rFonts w:ascii="Times New Roman" w:hAnsi="Times New Roman" w:cs="Times New Roman"/>
            </w:rPr>
            <w:t>-</w:t>
          </w:r>
        </w:p>
      </w:tc>
    </w:tr>
    <w:tr w:rsidR="000B2788" w:rsidRPr="00B36592" w14:paraId="77D776E6" w14:textId="77777777" w:rsidTr="00B32FD0">
      <w:trPr>
        <w:trHeight w:hRule="exact" w:val="266"/>
      </w:trPr>
      <w:tc>
        <w:tcPr>
          <w:tcW w:w="1843" w:type="dxa"/>
          <w:vMerge/>
          <w:vAlign w:val="center"/>
        </w:tcPr>
        <w:p w14:paraId="794F8493" w14:textId="77777777" w:rsidR="000B2788" w:rsidRPr="00B36592" w:rsidRDefault="000B2788" w:rsidP="000B2788">
          <w:pPr>
            <w:rPr>
              <w:sz w:val="20"/>
            </w:rPr>
          </w:pPr>
        </w:p>
      </w:tc>
      <w:tc>
        <w:tcPr>
          <w:tcW w:w="4416" w:type="dxa"/>
          <w:gridSpan w:val="2"/>
          <w:vAlign w:val="center"/>
        </w:tcPr>
        <w:p w14:paraId="7A9DEBF1" w14:textId="77777777" w:rsidR="000B2788" w:rsidRPr="00837053" w:rsidRDefault="000B2788" w:rsidP="000B2788">
          <w:pPr>
            <w:keepNext/>
            <w:ind w:left="-142" w:right="-219"/>
            <w:outlineLvl w:val="0"/>
            <w:rPr>
              <w:rFonts w:ascii="Times New Roman" w:hAnsi="Times New Roman" w:cs="Times New Roman"/>
            </w:rPr>
          </w:pPr>
        </w:p>
      </w:tc>
      <w:tc>
        <w:tcPr>
          <w:tcW w:w="1713" w:type="dxa"/>
          <w:vAlign w:val="center"/>
        </w:tcPr>
        <w:p w14:paraId="1771762A" w14:textId="77777777" w:rsidR="000B2788" w:rsidRPr="00837053" w:rsidRDefault="000B2788" w:rsidP="000B2788">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9" w:type="dxa"/>
          <w:vAlign w:val="center"/>
        </w:tcPr>
        <w:sdt>
          <w:sdtPr>
            <w:id w:val="527216409"/>
            <w:docPartObj>
              <w:docPartGallery w:val="Page Numbers (Bottom of Page)"/>
              <w:docPartUnique/>
            </w:docPartObj>
          </w:sdtPr>
          <w:sdtContent>
            <w:p w14:paraId="12B7091F" w14:textId="26A51387" w:rsidR="000B2788" w:rsidRDefault="000B2788" w:rsidP="000B2788">
              <w:pPr>
                <w:pStyle w:val="AltBilgi"/>
              </w:pPr>
              <w:r>
                <w:t>2</w:t>
              </w:r>
            </w:p>
          </w:sdtContent>
        </w:sdt>
        <w:p w14:paraId="76CED53D" w14:textId="21775F6D" w:rsidR="000B2788" w:rsidRPr="00837053" w:rsidRDefault="000B2788" w:rsidP="000B2788">
          <w:pPr>
            <w:rPr>
              <w:rFonts w:ascii="Times New Roman" w:hAnsi="Times New Roman" w:cs="Times New Roman"/>
            </w:rPr>
          </w:pPr>
        </w:p>
      </w:tc>
    </w:tr>
    <w:bookmarkEnd w:id="0"/>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A9A5" w14:textId="77777777" w:rsidR="00CF6CDE" w:rsidRDefault="00CF6C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B3E"/>
    <w:multiLevelType w:val="multilevel"/>
    <w:tmpl w:val="73A625FA"/>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2E3620F"/>
    <w:multiLevelType w:val="hybridMultilevel"/>
    <w:tmpl w:val="6CA6AC3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2" w15:restartNumberingAfterBreak="0">
    <w:nsid w:val="7CCF60BF"/>
    <w:multiLevelType w:val="hybridMultilevel"/>
    <w:tmpl w:val="84F6607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num w:numId="1" w16cid:durableId="105200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999108">
    <w:abstractNumId w:val="2"/>
  </w:num>
  <w:num w:numId="3" w16cid:durableId="203210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B2788"/>
    <w:rsid w:val="0010170D"/>
    <w:rsid w:val="00134E8B"/>
    <w:rsid w:val="001C0EF4"/>
    <w:rsid w:val="001F11E7"/>
    <w:rsid w:val="00216B3D"/>
    <w:rsid w:val="00230BC7"/>
    <w:rsid w:val="00316953"/>
    <w:rsid w:val="00453B44"/>
    <w:rsid w:val="00582F86"/>
    <w:rsid w:val="005B2C99"/>
    <w:rsid w:val="005D3B33"/>
    <w:rsid w:val="005F3EF5"/>
    <w:rsid w:val="0063311E"/>
    <w:rsid w:val="006756EB"/>
    <w:rsid w:val="006931FF"/>
    <w:rsid w:val="006E1DCB"/>
    <w:rsid w:val="007372C3"/>
    <w:rsid w:val="007746F3"/>
    <w:rsid w:val="008E68A1"/>
    <w:rsid w:val="00934BB4"/>
    <w:rsid w:val="00940265"/>
    <w:rsid w:val="00953772"/>
    <w:rsid w:val="009606DC"/>
    <w:rsid w:val="0096151D"/>
    <w:rsid w:val="00984C24"/>
    <w:rsid w:val="00AC420E"/>
    <w:rsid w:val="00AD2629"/>
    <w:rsid w:val="00B00785"/>
    <w:rsid w:val="00B27D70"/>
    <w:rsid w:val="00B32FD0"/>
    <w:rsid w:val="00B33F63"/>
    <w:rsid w:val="00B43330"/>
    <w:rsid w:val="00CC6259"/>
    <w:rsid w:val="00CF6CDE"/>
    <w:rsid w:val="00EC3804"/>
    <w:rsid w:val="00F518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FB0BD591-2D34-4E79-A8E2-336CAEC6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03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10</cp:revision>
  <dcterms:created xsi:type="dcterms:W3CDTF">2024-01-02T12:11:00Z</dcterms:created>
  <dcterms:modified xsi:type="dcterms:W3CDTF">2025-02-13T11:20:00Z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