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DB2E" w14:textId="77777777" w:rsidR="00827158" w:rsidRPr="008515E0" w:rsidRDefault="00827158" w:rsidP="00C84AAD">
      <w:pPr>
        <w:widowControl/>
        <w:autoSpaceDE/>
        <w:autoSpaceDN/>
        <w:spacing w:after="200" w:line="360" w:lineRule="auto"/>
        <w:contextualSpacing/>
        <w:jc w:val="both"/>
        <w:rPr>
          <w:rFonts w:ascii="Times New Roman" w:eastAsia="Times New Roman" w:hAnsi="Times New Roman" w:cs="Times New Roman"/>
          <w:b/>
          <w:lang w:val="tr-TR" w:eastAsia="tr-TR"/>
        </w:rPr>
      </w:pPr>
    </w:p>
    <w:p w14:paraId="632DCFFC" w14:textId="5957943D"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AMAÇ</w:t>
      </w:r>
    </w:p>
    <w:p w14:paraId="6F90D986" w14:textId="77777777" w:rsidR="00C84AAD" w:rsidRPr="008515E0" w:rsidRDefault="00C84AAD" w:rsidP="00C84AAD">
      <w:pPr>
        <w:widowControl/>
        <w:autoSpaceDE/>
        <w:autoSpaceDN/>
        <w:spacing w:line="360" w:lineRule="auto"/>
        <w:ind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İskenderun Teknik Üniversitesi, Bilim ve Teknoloji Uygulama ve Araştırma Merkezi (İSTE-BTM) laboratuvarında gerçekleştirilen analiz süreçlerinde ve/veya sonucunda önceden belirlenen şartlara ilişkin saptanan uygunsuzluklara ilişkin yapılacak işlemler ve düzeltici faaliyetlerle ilgili yetki ve sorumlulukları tanımlamaktır.</w:t>
      </w:r>
    </w:p>
    <w:p w14:paraId="22F5E7DC" w14:textId="77777777" w:rsidR="00C84AAD" w:rsidRPr="008515E0" w:rsidRDefault="00C84AAD" w:rsidP="00C84AAD">
      <w:pPr>
        <w:widowControl/>
        <w:autoSpaceDE/>
        <w:autoSpaceDN/>
        <w:spacing w:line="360" w:lineRule="auto"/>
        <w:ind w:firstLine="567"/>
        <w:jc w:val="both"/>
        <w:rPr>
          <w:rFonts w:ascii="Times New Roman" w:eastAsia="Times New Roman" w:hAnsi="Times New Roman" w:cs="Times New Roman"/>
          <w:lang w:val="tr-TR" w:eastAsia="tr-TR"/>
        </w:rPr>
      </w:pPr>
    </w:p>
    <w:p w14:paraId="4ECCB844" w14:textId="77777777"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KAPSAM</w:t>
      </w:r>
    </w:p>
    <w:p w14:paraId="1EC5DE46" w14:textId="77777777" w:rsidR="00C84AAD" w:rsidRPr="008515E0" w:rsidRDefault="00C84AAD" w:rsidP="00C84AAD">
      <w:pPr>
        <w:widowControl/>
        <w:autoSpaceDE/>
        <w:autoSpaceDN/>
        <w:spacing w:line="360" w:lineRule="auto"/>
        <w:ind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 xml:space="preserve">İSTE-BTM laboratuvarında yapılan tüm analizleri kapsar.  </w:t>
      </w:r>
    </w:p>
    <w:p w14:paraId="27ECE78B" w14:textId="77777777" w:rsidR="00C84AAD" w:rsidRPr="008515E0" w:rsidRDefault="00C84AAD" w:rsidP="00C84AAD">
      <w:pPr>
        <w:widowControl/>
        <w:autoSpaceDE/>
        <w:autoSpaceDN/>
        <w:spacing w:line="360" w:lineRule="auto"/>
        <w:ind w:firstLine="567"/>
        <w:jc w:val="both"/>
        <w:rPr>
          <w:rFonts w:ascii="Times New Roman" w:eastAsia="Times New Roman" w:hAnsi="Times New Roman" w:cs="Times New Roman"/>
          <w:lang w:val="tr-TR" w:eastAsia="tr-TR"/>
        </w:rPr>
      </w:pPr>
    </w:p>
    <w:p w14:paraId="467B773E" w14:textId="77777777"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SORUMLULAR</w:t>
      </w:r>
    </w:p>
    <w:p w14:paraId="099A64C3" w14:textId="77777777" w:rsidR="00C84AAD" w:rsidRPr="008515E0" w:rsidRDefault="00C84AAD" w:rsidP="00C84AAD">
      <w:pPr>
        <w:widowControl/>
        <w:adjustRightInd w:val="0"/>
        <w:spacing w:after="160" w:line="360" w:lineRule="auto"/>
        <w:ind w:firstLine="567"/>
        <w:jc w:val="both"/>
        <w:rPr>
          <w:rFonts w:ascii="Times New Roman" w:eastAsia="Calibri" w:hAnsi="Times New Roman" w:cs="Times New Roman"/>
          <w:b/>
          <w:color w:val="000000"/>
          <w:lang w:val="tr-TR"/>
        </w:rPr>
      </w:pPr>
      <w:r w:rsidRPr="008515E0">
        <w:rPr>
          <w:rFonts w:ascii="Times New Roman" w:eastAsia="Calibri" w:hAnsi="Times New Roman" w:cs="Times New Roman"/>
          <w:color w:val="000000"/>
          <w:lang w:val="tr-TR"/>
        </w:rPr>
        <w:t>İSTE-BTM laboratuvarlarında görevli Analiz Sorumlu/ları</w:t>
      </w:r>
    </w:p>
    <w:p w14:paraId="03183B26" w14:textId="77777777" w:rsidR="00C84AAD" w:rsidRPr="008515E0" w:rsidRDefault="00C84AAD" w:rsidP="00C84AAD">
      <w:pPr>
        <w:widowControl/>
        <w:autoSpaceDE/>
        <w:autoSpaceDN/>
        <w:spacing w:line="360" w:lineRule="auto"/>
        <w:ind w:right="318"/>
        <w:jc w:val="both"/>
        <w:rPr>
          <w:rFonts w:ascii="Arial" w:eastAsia="Times New Roman" w:hAnsi="Arial" w:cs="Arial"/>
          <w:b/>
          <w:u w:val="single"/>
          <w:lang w:val="tr-TR" w:eastAsia="tr-TR"/>
        </w:rPr>
      </w:pPr>
    </w:p>
    <w:p w14:paraId="53A1DE05" w14:textId="77777777"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İLGİLİ BÖLÜMLER</w:t>
      </w:r>
    </w:p>
    <w:p w14:paraId="03CF4F06" w14:textId="77777777" w:rsidR="00C84AAD" w:rsidRPr="008515E0" w:rsidRDefault="00C84AAD" w:rsidP="00C84AAD">
      <w:pPr>
        <w:widowControl/>
        <w:autoSpaceDE/>
        <w:autoSpaceDN/>
        <w:spacing w:line="360" w:lineRule="auto"/>
        <w:ind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Tüm İSTE-BTM laboratuvarları</w:t>
      </w:r>
    </w:p>
    <w:p w14:paraId="43173E32" w14:textId="77777777" w:rsidR="00C84AAD" w:rsidRPr="008515E0" w:rsidRDefault="00C84AAD" w:rsidP="00C84AAD">
      <w:pPr>
        <w:widowControl/>
        <w:autoSpaceDE/>
        <w:autoSpaceDN/>
        <w:spacing w:line="360" w:lineRule="auto"/>
        <w:jc w:val="both"/>
        <w:rPr>
          <w:rFonts w:ascii="Times New Roman" w:eastAsia="Times New Roman" w:hAnsi="Times New Roman" w:cs="Times New Roman"/>
          <w:lang w:val="tr-TR" w:eastAsia="tr-TR"/>
        </w:rPr>
      </w:pPr>
    </w:p>
    <w:p w14:paraId="6DB9D3A9" w14:textId="77777777"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UYGULAMA</w:t>
      </w:r>
    </w:p>
    <w:p w14:paraId="0CF9EFE3" w14:textId="77777777" w:rsidR="00C84AAD" w:rsidRPr="008515E0" w:rsidRDefault="00C84AAD" w:rsidP="00C84AAD">
      <w:pPr>
        <w:widowControl/>
        <w:autoSpaceDE/>
        <w:autoSpaceDN/>
        <w:snapToGrid w:val="0"/>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6.1. Laboratuvar Malzemelerinde Saptanan Uygunsuzluklar</w:t>
      </w:r>
    </w:p>
    <w:p w14:paraId="6B7483BF" w14:textId="77777777" w:rsidR="00C84AAD" w:rsidRPr="008515E0" w:rsidRDefault="00C84AAD" w:rsidP="00C84AAD">
      <w:pPr>
        <w:widowControl/>
        <w:numPr>
          <w:ilvl w:val="0"/>
          <w:numId w:val="2"/>
        </w:numPr>
        <w:tabs>
          <w:tab w:val="left" w:pos="990"/>
          <w:tab w:val="left" w:pos="9720"/>
          <w:tab w:val="left" w:pos="9900"/>
          <w:tab w:val="left" w:pos="9990"/>
        </w:tabs>
        <w:autoSpaceDE/>
        <w:autoSpaceDN/>
        <w:spacing w:line="360" w:lineRule="auto"/>
        <w:ind w:left="660" w:right="-12"/>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Analizlerde kullanılmak üzere satın alınan laboratuvar malzemelerinden uygun bulunmayanlar teslim/kabul işlemi yapılmaz, iade edilir.</w:t>
      </w:r>
    </w:p>
    <w:p w14:paraId="6FEF1DA3" w14:textId="77777777" w:rsidR="00C84AAD" w:rsidRPr="008515E0" w:rsidRDefault="00C84AAD" w:rsidP="00C84AAD">
      <w:pPr>
        <w:widowControl/>
        <w:numPr>
          <w:ilvl w:val="0"/>
          <w:numId w:val="2"/>
        </w:numPr>
        <w:tabs>
          <w:tab w:val="left" w:pos="990"/>
          <w:tab w:val="left" w:pos="9450"/>
        </w:tabs>
        <w:autoSpaceDE/>
        <w:autoSpaceDN/>
        <w:spacing w:line="360" w:lineRule="auto"/>
        <w:ind w:left="660" w:right="-12"/>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İadenin hemen yapılamadığı durumlarda uygun olmayan malzeme yanlışlıkla kullanımı önlemek için kırmızı renkli “RED” etiketi ile tanımlanarak muhafaza edilir.</w:t>
      </w:r>
    </w:p>
    <w:p w14:paraId="4350DBBE" w14:textId="77777777" w:rsidR="00C84AAD" w:rsidRPr="008515E0" w:rsidRDefault="00C84AAD" w:rsidP="00C84AAD">
      <w:pPr>
        <w:widowControl/>
        <w:tabs>
          <w:tab w:val="left" w:pos="9450"/>
        </w:tabs>
        <w:autoSpaceDE/>
        <w:autoSpaceDN/>
        <w:spacing w:line="360" w:lineRule="auto"/>
        <w:ind w:left="660" w:right="-12"/>
        <w:jc w:val="both"/>
        <w:rPr>
          <w:rFonts w:ascii="Times New Roman" w:eastAsia="Times New Roman" w:hAnsi="Times New Roman" w:cs="Times New Roman"/>
          <w:lang w:val="tr-TR" w:eastAsia="tr-TR"/>
        </w:rPr>
      </w:pPr>
    </w:p>
    <w:p w14:paraId="100AE6A9" w14:textId="0F795D93" w:rsidR="00C84AAD" w:rsidRPr="008515E0" w:rsidRDefault="00C84AAD" w:rsidP="00827158">
      <w:pPr>
        <w:widowControl/>
        <w:numPr>
          <w:ilvl w:val="0"/>
          <w:numId w:val="2"/>
        </w:numPr>
        <w:tabs>
          <w:tab w:val="left"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 xml:space="preserve">Laboratuvar stoklarındaki malzemelerin kullanımı sırasında bir uygunsuzluk saptanırsa </w:t>
      </w:r>
      <w:r w:rsidR="00827158" w:rsidRPr="008515E0">
        <w:rPr>
          <w:rFonts w:ascii="Times New Roman" w:eastAsia="Times New Roman" w:hAnsi="Times New Roman" w:cs="Times New Roman"/>
          <w:lang w:val="tr-TR" w:eastAsia="tr-TR"/>
        </w:rPr>
        <w:t xml:space="preserve">  </w:t>
      </w:r>
      <w:r w:rsidRPr="008515E0">
        <w:rPr>
          <w:rFonts w:ascii="Times New Roman" w:eastAsia="Times New Roman" w:hAnsi="Times New Roman" w:cs="Times New Roman"/>
          <w:lang w:val="tr-TR" w:eastAsia="tr-TR"/>
        </w:rPr>
        <w:t>malzeme kullanılmaz. Yanlışlıkla kullanımı önlemek için kırmızı renkli “red” etiketi ile tanımlanarak muhafaza edilir. Stokta varsa yeni ambalaj açılır ve analizin tipine göre gerekiyorsa referans malzeme ile ve/veya kalite kontrol örnekleri ile analizin doğrulaması yapılır.</w:t>
      </w:r>
    </w:p>
    <w:p w14:paraId="0D3FA4AF" w14:textId="77777777" w:rsidR="00C84AAD" w:rsidRPr="008515E0" w:rsidRDefault="00C84AAD" w:rsidP="00C84AAD">
      <w:pPr>
        <w:widowControl/>
        <w:autoSpaceDE/>
        <w:autoSpaceDN/>
        <w:snapToGrid w:val="0"/>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6.2. Analiz Yapılacak Numunelerde Saptanan Uygunsuzluklar</w:t>
      </w:r>
    </w:p>
    <w:p w14:paraId="5D9D8565" w14:textId="77777777" w:rsidR="00C84AAD" w:rsidRPr="008515E0" w:rsidRDefault="00C84AAD" w:rsidP="00C84AAD">
      <w:pPr>
        <w:widowControl/>
        <w:tabs>
          <w:tab w:val="left" w:pos="8910"/>
        </w:tabs>
        <w:autoSpaceDE/>
        <w:autoSpaceDN/>
        <w:spacing w:line="360" w:lineRule="auto"/>
        <w:ind w:right="318"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Analizli yapılmak üzere laboratuvara gelen numunelerde Numune Kabul, Koruma, Taşıma, İmha Prosedürüne göre herhangi bir uygunsuzluk saptanması durumunda;</w:t>
      </w:r>
    </w:p>
    <w:p w14:paraId="7F1359E4" w14:textId="77777777" w:rsidR="00C84AAD" w:rsidRPr="008515E0" w:rsidRDefault="00C84AAD" w:rsidP="00C84AAD">
      <w:pPr>
        <w:widowControl/>
        <w:numPr>
          <w:ilvl w:val="0"/>
          <w:numId w:val="3"/>
        </w:numPr>
        <w:tabs>
          <w:tab w:val="num" w:pos="990"/>
          <w:tab w:val="left" w:pos="1260"/>
          <w:tab w:val="left" w:pos="891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Elden getirilmişse numune reddedilir ve teslim alınmaz.</w:t>
      </w:r>
    </w:p>
    <w:p w14:paraId="246C76BE" w14:textId="77777777" w:rsidR="00C84AAD" w:rsidRPr="008515E0" w:rsidRDefault="00C84AAD" w:rsidP="00C84AAD">
      <w:pPr>
        <w:widowControl/>
        <w:numPr>
          <w:ilvl w:val="0"/>
          <w:numId w:val="3"/>
        </w:numPr>
        <w:tabs>
          <w:tab w:val="num" w:pos="990"/>
        </w:tabs>
        <w:autoSpaceDE/>
        <w:autoSpaceDN/>
        <w:snapToGri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lastRenderedPageBreak/>
        <w:t>Kargo ile gönderilmişse müşteri derhal aranarak numunenin uygunsuzluğu nedeniyle analize alınamayacağı bildirilir.</w:t>
      </w:r>
    </w:p>
    <w:p w14:paraId="701414B0" w14:textId="77777777" w:rsidR="00C84AAD" w:rsidRPr="008515E0"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lang w:val="tr-TR" w:eastAsia="tr-TR"/>
        </w:rPr>
        <w:t>Numunelerin analizi yapılırken fark edilen olumsuz bir durum Analiz Kayıt Formunda ve daha sonra sonuçların verildiği Analiz Raporunda belirtilir.</w:t>
      </w:r>
    </w:p>
    <w:p w14:paraId="4D6A9095" w14:textId="77777777" w:rsidR="00C84AAD" w:rsidRPr="008515E0" w:rsidRDefault="00C84AAD" w:rsidP="00C84AAD">
      <w:pPr>
        <w:widowControl/>
        <w:numPr>
          <w:ilvl w:val="0"/>
          <w:numId w:val="3"/>
        </w:numPr>
        <w:tabs>
          <w:tab w:val="num" w:pos="990"/>
        </w:tabs>
        <w:autoSpaceDE/>
        <w:autoSpaceDN/>
        <w:snapToGrid w:val="0"/>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lang w:val="tr-TR" w:eastAsia="tr-TR"/>
        </w:rPr>
        <w:t>İSTE-BTM Laboratuvarı tarafından kabul edilen numunelerin taşınması esnasında meydana gelen uygunsuzluklarda (kırılma, dökülme vb.) kalan numune kullanılamayacak durumdaysa numunenin tekrar alınması sağlanır.</w:t>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br/>
      </w:r>
      <w:r w:rsidRPr="008515E0">
        <w:rPr>
          <w:rFonts w:ascii="Times New Roman" w:eastAsia="Times New Roman" w:hAnsi="Times New Roman" w:cs="Times New Roman"/>
          <w:b/>
          <w:lang w:val="tr-TR" w:eastAsia="tr-TR"/>
        </w:rPr>
        <w:t>6.3. Cihazlarda Rastlanan Uygunsuzluklar</w:t>
      </w:r>
    </w:p>
    <w:p w14:paraId="0C398CA8" w14:textId="77777777" w:rsidR="00C84AAD" w:rsidRPr="008515E0"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Laboratuvar cihazlarının kullanımı sırasında sonuçlarda bir sapma görüldüğünde cihazın gerekiyorsa bakımı ve kalibrasyonu ilgili personel tarafından önceden belirlenmiş kalibrasyon tarihi beklenmeden yapılır.</w:t>
      </w:r>
    </w:p>
    <w:p w14:paraId="16D5CB6C" w14:textId="77777777" w:rsidR="00C84AAD" w:rsidRPr="008515E0"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Problemin tekrarının önlenmesi için kalibrasyon periyodlarında gereken değişiklik yapılır.</w:t>
      </w:r>
    </w:p>
    <w:p w14:paraId="22E99F2A" w14:textId="77777777" w:rsidR="00C84AAD" w:rsidRPr="008515E0" w:rsidRDefault="00C84AAD" w:rsidP="00C84AAD">
      <w:pPr>
        <w:widowControl/>
        <w:numPr>
          <w:ilvl w:val="0"/>
          <w:numId w:val="3"/>
        </w:numPr>
        <w:tabs>
          <w:tab w:val="left" w:pos="540"/>
          <w:tab w:val="num" w:pos="1068"/>
        </w:tabs>
        <w:autoSpaceDE/>
        <w:autoSpaceDN/>
        <w:spacing w:line="360" w:lineRule="auto"/>
        <w:ind w:left="660" w:right="318"/>
        <w:jc w:val="both"/>
        <w:rPr>
          <w:rFonts w:ascii="Arial" w:eastAsia="Times New Roman" w:hAnsi="Arial" w:cs="Arial"/>
          <w:lang w:val="tr-TR" w:eastAsia="tr-TR"/>
        </w:rPr>
      </w:pPr>
      <w:r w:rsidRPr="008515E0">
        <w:rPr>
          <w:rFonts w:ascii="Times New Roman" w:eastAsia="Times New Roman" w:hAnsi="Times New Roman" w:cs="Times New Roman"/>
          <w:lang w:val="tr-TR" w:eastAsia="tr-TR"/>
        </w:rPr>
        <w:t>Kalibrasyon/Doğrulama sonucu cihazın hata limitleri dışına çıktığı saptanır ise, mümkünse kullanım alanından uzaklaştırılır ve tamiri yapılır. Aksi takdirde cihaz hurdaya ayrılır ve Kritik Cihaz Teçhizat Listesinden ismi çıkarılır. Kullanım yerinden uzaklaştırılamayan ölçü aleti kullanılmaması için “KULLANIM DIŞI” yazılı bir etiket ile tanımlanır.</w:t>
      </w:r>
    </w:p>
    <w:p w14:paraId="778BD92F" w14:textId="77777777" w:rsidR="00C84AAD" w:rsidRPr="008515E0"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Kalibrasyon sonucu hata limitleri dışında saptanan cihaz ile daha önce gerçekleştirilmiş ölçümler yeniden incelenerek geri tarama yapılır ve mümkün olan ölçümler tekrarlanır.</w:t>
      </w:r>
    </w:p>
    <w:p w14:paraId="4B17D27D" w14:textId="77777777" w:rsidR="00C84AAD" w:rsidRPr="008515E0" w:rsidRDefault="00C84AAD" w:rsidP="00C84AAD">
      <w:pPr>
        <w:widowControl/>
        <w:tabs>
          <w:tab w:val="left" w:pos="825"/>
        </w:tabs>
        <w:overflowPunct w:val="0"/>
        <w:adjustRightInd w:val="0"/>
        <w:spacing w:line="360" w:lineRule="auto"/>
        <w:ind w:left="660" w:right="318"/>
        <w:jc w:val="both"/>
        <w:rPr>
          <w:rFonts w:ascii="Arial" w:eastAsia="Times New Roman" w:hAnsi="Arial" w:cs="Arial"/>
          <w:b/>
          <w:lang w:val="tr-TR" w:eastAsia="tr-TR"/>
        </w:rPr>
      </w:pPr>
    </w:p>
    <w:p w14:paraId="6BF2ED55" w14:textId="77777777" w:rsidR="00C84AAD" w:rsidRPr="008515E0" w:rsidRDefault="00C84AAD" w:rsidP="00C84AAD">
      <w:pPr>
        <w:widowControl/>
        <w:tabs>
          <w:tab w:val="left" w:pos="825"/>
        </w:tabs>
        <w:overflowPunct w:val="0"/>
        <w:adjustRightInd w:val="0"/>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6.4. Analiz Süreçlerinde/Sonuçlarında Meydana Gelen Uygunsuzluklar</w:t>
      </w:r>
    </w:p>
    <w:p w14:paraId="6187D39B" w14:textId="77777777" w:rsidR="00C84AAD" w:rsidRPr="008515E0" w:rsidRDefault="00C84AAD" w:rsidP="00C84AAD">
      <w:pPr>
        <w:widowControl/>
        <w:overflowPunct w:val="0"/>
        <w:adjustRightInd w:val="0"/>
        <w:spacing w:line="360" w:lineRule="auto"/>
        <w:ind w:right="318"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 süreçlerinde/sonuçlarında ortaya çıkan uygunsuzluklarda Laboratuvar Müdür ve ya Müdür Yardımcısına haber verilerek analiz durdurulur ve aşağıdaki çalışmalar yürütülür;</w:t>
      </w:r>
    </w:p>
    <w:p w14:paraId="32CDD9B8"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Öncelikle varsa analiz yönteminde verilen uyarılara uyulup uyulmadığı kontrol edilir.</w:t>
      </w:r>
    </w:p>
    <w:p w14:paraId="1E263DB7"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Yukarıda belirtildiği gibi cihazla ilgili doğrulamalar yapılır.</w:t>
      </w:r>
    </w:p>
    <w:p w14:paraId="3C1A4F1A"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Analizin özelliğine göre referans numuneler ve/veya kalite kontrol numuneleri kullanılarak sonuçların doğrulaması yapılır.</w:t>
      </w:r>
    </w:p>
    <w:p w14:paraId="58596612"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Uygunsuzlukların nedenine ve gerçek kaynağa ulaşmak ve tekrarının önlenmesi için Düzeltici ve Önleyici Faaliyetler Prosedüründe detayları ile açıklandığı şekilde “Sebep Analizi” çalışması yapılır. Ayrıca Eğitim ve Geliştirme Prosedüründe de ayrıntılı bir şekilde açıklanmaktadır.</w:t>
      </w:r>
    </w:p>
    <w:p w14:paraId="78ADA145"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Çözüm için bekleyen numuneler beyaz renkli “ŞÜPHELİ ÜRÜN” bölgesinde bekletilirler.</w:t>
      </w:r>
    </w:p>
    <w:p w14:paraId="3810C103"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Düzeltici işlem tamamlandıktan sonra ürün, uygunluğu saptanmak üzere yeniden analiz edilir.</w:t>
      </w:r>
    </w:p>
    <w:p w14:paraId="75C96E1F" w14:textId="77777777" w:rsidR="00C84AAD" w:rsidRPr="008515E0"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Çözüm önerisi ve yapılan çalışmaların kaydı Laboratuvar Müdürü tarafından iki yıl saklanır.</w:t>
      </w:r>
    </w:p>
    <w:p w14:paraId="4B9299E4" w14:textId="77777777" w:rsidR="00C84AAD" w:rsidRPr="008515E0" w:rsidRDefault="00C84AAD" w:rsidP="00C84AAD">
      <w:pPr>
        <w:widowControl/>
        <w:tabs>
          <w:tab w:val="left" w:pos="825"/>
        </w:tabs>
        <w:overflowPunct w:val="0"/>
        <w:adjustRightInd w:val="0"/>
        <w:spacing w:line="360" w:lineRule="auto"/>
        <w:ind w:left="660" w:right="318"/>
        <w:jc w:val="both"/>
        <w:rPr>
          <w:rFonts w:ascii="Arial" w:eastAsia="Times New Roman" w:hAnsi="Arial" w:cs="Arial"/>
          <w:b/>
          <w:lang w:val="tr-TR" w:eastAsia="tr-TR"/>
        </w:rPr>
      </w:pPr>
      <w:r w:rsidRPr="008515E0">
        <w:rPr>
          <w:rFonts w:ascii="Times New Roman" w:eastAsia="Times New Roman" w:hAnsi="Times New Roman" w:cs="Times New Roman"/>
          <w:lang w:val="tr-TR" w:eastAsia="tr-TR"/>
        </w:rPr>
        <w:t xml:space="preserve"> </w:t>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b/>
          <w:lang w:val="tr-TR" w:eastAsia="tr-TR"/>
        </w:rPr>
        <w:t>6.5. Analiz Raporu Gönderildikten Sonra Ortaya Çıkan Uygunsuzluklar</w:t>
      </w:r>
    </w:p>
    <w:p w14:paraId="522698C4" w14:textId="77777777" w:rsidR="00C84AAD" w:rsidRPr="008515E0" w:rsidRDefault="00C84AAD" w:rsidP="00C84AAD">
      <w:pPr>
        <w:widowControl/>
        <w:overflowPunct w:val="0"/>
        <w:adjustRightInd w:val="0"/>
        <w:spacing w:line="360" w:lineRule="auto"/>
        <w:ind w:right="318"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 Raporu” müşteriye gönderildikten sonra ortaya çıkan uygunsuzluklar ve/veya müşterinin itirazı ile tekrarlanan analizlerde, sonuçların düzeltilmesi, ek yapılması veya tamamının değiştirilmesi gerektiğinde ilk raporu tanımlayan seri numarası da yazılarak değişiklik eki hazırlanır. Burada değişiklik nedeni de belirtilir ve ilk raporu imzalayan yetkililerce imzalanarak müşteriye tekrar gönderilir.</w:t>
      </w:r>
    </w:p>
    <w:p w14:paraId="2DBF8859" w14:textId="77777777" w:rsidR="00C84AAD" w:rsidRPr="008515E0" w:rsidRDefault="00C84AAD" w:rsidP="00C84AAD">
      <w:pPr>
        <w:widowControl/>
        <w:tabs>
          <w:tab w:val="left" w:pos="825"/>
        </w:tabs>
        <w:overflowPunct w:val="0"/>
        <w:adjustRightInd w:val="0"/>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6.6. Uygun Olmayan Analizin Kontrolü</w:t>
      </w:r>
    </w:p>
    <w:p w14:paraId="27DE7C73" w14:textId="77777777" w:rsidR="00C84AAD" w:rsidRPr="008515E0" w:rsidRDefault="00C84AAD" w:rsidP="00C84AAD">
      <w:pPr>
        <w:widowControl/>
        <w:tabs>
          <w:tab w:val="left" w:pos="270"/>
        </w:tabs>
        <w:autoSpaceDE/>
        <w:autoSpaceDN/>
        <w:spacing w:line="360" w:lineRule="auto"/>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Uygun olmayan analizi durdurma ve sorunun çözülmesinden sonra analizi tekrar başlatma yetkisi Laboratuvar Müdür Yardımcısı aittir.</w:t>
      </w:r>
    </w:p>
    <w:p w14:paraId="1D591182" w14:textId="77777777" w:rsidR="00C84AAD" w:rsidRPr="008515E0" w:rsidRDefault="00C84AAD" w:rsidP="00C84AAD">
      <w:pPr>
        <w:widowControl/>
        <w:tabs>
          <w:tab w:val="left" w:pos="270"/>
        </w:tabs>
        <w:autoSpaceDE/>
        <w:autoSpaceDN/>
        <w:spacing w:line="360" w:lineRule="auto"/>
        <w:ind w:firstLine="567"/>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Analiz raporunda belirtilen sonuçların uygun olup olmadığı kararı Laboratuvar Müdürüne aittir. Analiz raporları hem Analiz Sorumlu/ları, Laboratuvar Müdürü tarafından imzalanır.  Uygunsuzluklar ile ilgili bütün düzeltici faaliyetler ve çözüm önerileri, kalite kaydı olarak Laboratuvar Müdürü tarafından Kayıtların Kontrolü Prosedürü ’ne göre muhafaza edilir.</w:t>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r w:rsidRPr="008515E0">
        <w:rPr>
          <w:rFonts w:ascii="Times New Roman" w:eastAsia="Times New Roman" w:hAnsi="Times New Roman" w:cs="Times New Roman"/>
          <w:lang w:val="tr-TR" w:eastAsia="tr-TR"/>
        </w:rPr>
        <w:tab/>
      </w:r>
    </w:p>
    <w:p w14:paraId="7D0177DF" w14:textId="77777777" w:rsidR="00C84AAD" w:rsidRPr="008515E0"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İLGİLİ DOKÜMANLAR</w:t>
      </w:r>
    </w:p>
    <w:p w14:paraId="3C60A970" w14:textId="77777777" w:rsidR="00C84AAD" w:rsidRPr="008515E0"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lang w:val="tr-TR" w:eastAsia="tr-TR"/>
        </w:rPr>
        <w:t>Düzeltici ve Önleyici Faaliyet Formu</w:t>
      </w:r>
    </w:p>
    <w:p w14:paraId="6350F83D" w14:textId="77777777" w:rsidR="00C84AAD" w:rsidRPr="008515E0"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lang w:val="tr-TR" w:eastAsia="tr-TR"/>
        </w:rPr>
        <w:t>Analiz Kayıt Formu</w:t>
      </w:r>
    </w:p>
    <w:p w14:paraId="34503219" w14:textId="77777777" w:rsidR="00C84AAD" w:rsidRPr="008515E0"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lang w:val="tr-TR" w:eastAsia="tr-TR"/>
        </w:rPr>
      </w:pPr>
      <w:r w:rsidRPr="008515E0">
        <w:rPr>
          <w:rFonts w:ascii="Times New Roman" w:eastAsia="Times New Roman" w:hAnsi="Times New Roman" w:cs="Times New Roman"/>
          <w:lang w:val="tr-TR" w:eastAsia="tr-TR"/>
        </w:rPr>
        <w:t>Analiz Raporu</w:t>
      </w:r>
    </w:p>
    <w:p w14:paraId="039EBF2E" w14:textId="77777777" w:rsidR="00C84AAD" w:rsidRPr="008515E0"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Düzeltici ve Önleyici Faaliyet Prosedürü</w:t>
      </w:r>
    </w:p>
    <w:p w14:paraId="7C18EFDF" w14:textId="77777777" w:rsidR="00C84AAD" w:rsidRPr="008515E0"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Eğitim ve Geliştirme Prosedürü</w:t>
      </w:r>
    </w:p>
    <w:p w14:paraId="63B725A3" w14:textId="77777777" w:rsidR="00C84AAD" w:rsidRPr="008515E0"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Numune Kabul, Koruma, Taşıma, İmha Prosedürü</w:t>
      </w:r>
    </w:p>
    <w:p w14:paraId="042BC026" w14:textId="77777777" w:rsidR="00C84AAD" w:rsidRPr="008515E0"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Kayıtların Kontrolü Prosedürü</w:t>
      </w:r>
    </w:p>
    <w:p w14:paraId="1D7734CB" w14:textId="77777777" w:rsidR="00C84AAD" w:rsidRPr="008515E0"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8515E0">
        <w:rPr>
          <w:rFonts w:ascii="Times New Roman" w:eastAsia="Times New Roman" w:hAnsi="Times New Roman" w:cs="Times New Roman"/>
          <w:lang w:val="tr-TR" w:eastAsia="tr-TR"/>
        </w:rPr>
        <w:t>Kritik Cihaz Teçhizat Listesi</w:t>
      </w:r>
    </w:p>
    <w:p w14:paraId="01311210" w14:textId="77777777" w:rsidR="00C84AAD" w:rsidRPr="008515E0" w:rsidRDefault="00C84AAD" w:rsidP="00C84AAD">
      <w:pPr>
        <w:widowControl/>
        <w:tabs>
          <w:tab w:val="num" w:pos="990"/>
        </w:tabs>
        <w:autoSpaceDE/>
        <w:autoSpaceDN/>
        <w:spacing w:line="360" w:lineRule="auto"/>
        <w:ind w:left="660" w:right="318"/>
        <w:jc w:val="both"/>
        <w:rPr>
          <w:rFonts w:ascii="Arial" w:eastAsia="Times New Roman" w:hAnsi="Arial" w:cs="Arial"/>
          <w:b/>
          <w:u w:val="single"/>
          <w:lang w:val="tr-TR" w:eastAsia="tr-TR"/>
        </w:rPr>
      </w:pPr>
    </w:p>
    <w:p w14:paraId="528E99C6" w14:textId="77777777" w:rsidR="00C84AAD" w:rsidRPr="008515E0" w:rsidRDefault="00C84AAD" w:rsidP="00C84AAD">
      <w:pPr>
        <w:widowControl/>
        <w:autoSpaceDE/>
        <w:autoSpaceDN/>
        <w:spacing w:line="360" w:lineRule="auto"/>
        <w:ind w:left="660" w:right="318"/>
        <w:jc w:val="both"/>
        <w:rPr>
          <w:rFonts w:ascii="Arial" w:eastAsia="Times New Roman" w:hAnsi="Arial" w:cs="Arial"/>
          <w:lang w:val="tr-TR"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8"/>
        <w:gridCol w:w="1916"/>
        <w:gridCol w:w="4541"/>
      </w:tblGrid>
      <w:tr w:rsidR="00C84AAD" w:rsidRPr="008515E0" w14:paraId="5F80366B" w14:textId="77777777" w:rsidTr="00E2794C">
        <w:tc>
          <w:tcPr>
            <w:tcW w:w="765" w:type="pct"/>
            <w:tcBorders>
              <w:top w:val="single" w:sz="4" w:space="0" w:color="auto"/>
              <w:left w:val="single" w:sz="4" w:space="0" w:color="auto"/>
              <w:bottom w:val="single" w:sz="4" w:space="0" w:color="auto"/>
              <w:right w:val="single" w:sz="4" w:space="0" w:color="auto"/>
            </w:tcBorders>
            <w:hideMark/>
          </w:tcPr>
          <w:p w14:paraId="43AE0FFB" w14:textId="77777777" w:rsidR="00C84AAD" w:rsidRPr="008515E0"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Revizyon No</w:t>
            </w:r>
          </w:p>
        </w:tc>
        <w:tc>
          <w:tcPr>
            <w:tcW w:w="997" w:type="pct"/>
            <w:tcBorders>
              <w:top w:val="single" w:sz="4" w:space="0" w:color="auto"/>
              <w:left w:val="single" w:sz="4" w:space="0" w:color="auto"/>
              <w:bottom w:val="single" w:sz="4" w:space="0" w:color="auto"/>
              <w:right w:val="single" w:sz="4" w:space="0" w:color="auto"/>
            </w:tcBorders>
            <w:hideMark/>
          </w:tcPr>
          <w:p w14:paraId="07A7E754" w14:textId="77777777" w:rsidR="00C84AAD" w:rsidRPr="008515E0"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Revizyon Tarihi</w:t>
            </w:r>
          </w:p>
        </w:tc>
        <w:tc>
          <w:tcPr>
            <w:tcW w:w="961" w:type="pct"/>
            <w:tcBorders>
              <w:top w:val="single" w:sz="4" w:space="0" w:color="auto"/>
              <w:left w:val="single" w:sz="4" w:space="0" w:color="auto"/>
              <w:bottom w:val="single" w:sz="4" w:space="0" w:color="auto"/>
              <w:right w:val="single" w:sz="4" w:space="0" w:color="auto"/>
            </w:tcBorders>
            <w:hideMark/>
          </w:tcPr>
          <w:p w14:paraId="4F623E82" w14:textId="77777777" w:rsidR="00C84AAD" w:rsidRPr="008515E0"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Madde No/Bölüm</w:t>
            </w:r>
          </w:p>
        </w:tc>
        <w:tc>
          <w:tcPr>
            <w:tcW w:w="2277" w:type="pct"/>
            <w:tcBorders>
              <w:top w:val="single" w:sz="4" w:space="0" w:color="auto"/>
              <w:left w:val="single" w:sz="4" w:space="0" w:color="auto"/>
              <w:bottom w:val="single" w:sz="4" w:space="0" w:color="auto"/>
              <w:right w:val="single" w:sz="4" w:space="0" w:color="auto"/>
            </w:tcBorders>
            <w:hideMark/>
          </w:tcPr>
          <w:p w14:paraId="093A9FC2" w14:textId="77777777" w:rsidR="00C84AAD"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8515E0">
              <w:rPr>
                <w:rFonts w:ascii="Times New Roman" w:eastAsia="Times New Roman" w:hAnsi="Times New Roman" w:cs="Times New Roman"/>
                <w:b/>
                <w:lang w:val="tr-TR" w:eastAsia="tr-TR"/>
              </w:rPr>
              <w:t>Değişiklik Açıklaması / Nedeni</w:t>
            </w:r>
          </w:p>
          <w:p w14:paraId="552AFD1F" w14:textId="77777777" w:rsidR="00E2794C" w:rsidRDefault="00E2794C"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p w14:paraId="67FD7D0C" w14:textId="77777777" w:rsidR="00E2794C" w:rsidRDefault="00E2794C"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p w14:paraId="0704D586" w14:textId="77777777" w:rsidR="00E2794C" w:rsidRPr="008515E0" w:rsidRDefault="00E2794C" w:rsidP="00C84AAD">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tc>
      </w:tr>
    </w:tbl>
    <w:p w14:paraId="1C48D6AF" w14:textId="77777777" w:rsidR="00316953" w:rsidRPr="008515E0" w:rsidRDefault="00316953" w:rsidP="00E2794C">
      <w:pPr>
        <w:pStyle w:val="KonuBal"/>
        <w:ind w:left="0"/>
      </w:pPr>
    </w:p>
    <w:p w14:paraId="13C5D1DA" w14:textId="77777777" w:rsidR="00316953" w:rsidRPr="008515E0" w:rsidRDefault="00316953" w:rsidP="00E2794C">
      <w:pPr>
        <w:pStyle w:val="KonuBal"/>
        <w:ind w:left="0"/>
      </w:pPr>
    </w:p>
    <w:sectPr w:rsidR="00316953" w:rsidRPr="008515E0" w:rsidSect="00487C67">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FDD2" w14:textId="77777777" w:rsidR="00BE47F3" w:rsidRDefault="00BE47F3" w:rsidP="007746F3">
      <w:r>
        <w:separator/>
      </w:r>
    </w:p>
  </w:endnote>
  <w:endnote w:type="continuationSeparator" w:id="0">
    <w:p w14:paraId="6E350F50" w14:textId="77777777" w:rsidR="00BE47F3" w:rsidRDefault="00BE47F3"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717C" w14:textId="77777777" w:rsidR="00E2794C" w:rsidRDefault="00E279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289"/>
      <w:gridCol w:w="3799"/>
      <w:gridCol w:w="2693"/>
    </w:tblGrid>
    <w:tr w:rsidR="007746F3" w14:paraId="633DDC21" w14:textId="77777777" w:rsidTr="00827158">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C84AAD">
            <w:rPr>
              <w:rFonts w:ascii="Times New Roman" w:hAnsi="Times New Roman" w:cs="Times New Roman"/>
              <w:b/>
              <w:color w:val="000000"/>
              <w:sz w:val="16"/>
              <w:szCs w:val="16"/>
            </w:rPr>
            <w:t>Hazırlayan</w:t>
          </w:r>
        </w:p>
        <w:p w14:paraId="47481229" w14:textId="77777777" w:rsidR="00A61244" w:rsidRPr="00C84AAD" w:rsidRDefault="00A61244" w:rsidP="007746F3">
          <w:pPr>
            <w:tabs>
              <w:tab w:val="center" w:pos="4536"/>
              <w:tab w:val="right" w:pos="9072"/>
            </w:tabs>
            <w:jc w:val="center"/>
            <w:rPr>
              <w:rFonts w:ascii="Times New Roman" w:hAnsi="Times New Roman" w:cs="Times New Roman"/>
              <w:b/>
              <w:color w:val="000000"/>
              <w:sz w:val="16"/>
              <w:szCs w:val="16"/>
            </w:rPr>
          </w:pPr>
        </w:p>
        <w:p w14:paraId="25BB067B" w14:textId="41BCBA4C" w:rsidR="007746F3" w:rsidRDefault="00A61244" w:rsidP="006A18B2">
          <w:pPr>
            <w:tabs>
              <w:tab w:val="center" w:pos="4536"/>
              <w:tab w:val="right" w:pos="9072"/>
            </w:tabs>
            <w:jc w:val="center"/>
            <w:rPr>
              <w:rFonts w:ascii="Times New Roman" w:hAnsi="Times New Roman" w:cs="Times New Roman"/>
              <w:b/>
              <w:sz w:val="16"/>
              <w:szCs w:val="16"/>
            </w:rPr>
          </w:pPr>
          <w:r w:rsidRPr="00A61244">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21E4" w14:textId="77777777" w:rsidR="00E2794C" w:rsidRDefault="00E279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7CE7" w14:textId="77777777" w:rsidR="00BE47F3" w:rsidRDefault="00BE47F3" w:rsidP="007746F3">
      <w:r>
        <w:separator/>
      </w:r>
    </w:p>
  </w:footnote>
  <w:footnote w:type="continuationSeparator" w:id="0">
    <w:p w14:paraId="678AF75B" w14:textId="77777777" w:rsidR="00BE47F3" w:rsidRDefault="00BE47F3"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E847" w14:textId="77777777" w:rsidR="00E2794C" w:rsidRDefault="00E279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5165AC66" w:rsidR="007746F3" w:rsidRDefault="007746F3">
    <w:pPr>
      <w:pStyle w:val="stBilgi"/>
    </w:pPr>
  </w:p>
  <w:tbl>
    <w:tblPr>
      <w:tblStyle w:val="TabloKlavuzu"/>
      <w:tblW w:w="9781" w:type="dxa"/>
      <w:tblInd w:w="-5" w:type="dxa"/>
      <w:tblLook w:val="04A0" w:firstRow="1" w:lastRow="0" w:firstColumn="1" w:lastColumn="0" w:noHBand="0" w:noVBand="1"/>
    </w:tblPr>
    <w:tblGrid>
      <w:gridCol w:w="1843"/>
      <w:gridCol w:w="1843"/>
      <w:gridCol w:w="2672"/>
      <w:gridCol w:w="1738"/>
      <w:gridCol w:w="1685"/>
    </w:tblGrid>
    <w:tr w:rsidR="007D4A3C" w:rsidRPr="00B36592" w14:paraId="27AC2E93" w14:textId="77777777" w:rsidTr="00827158">
      <w:trPr>
        <w:trHeight w:val="727"/>
      </w:trPr>
      <w:tc>
        <w:tcPr>
          <w:tcW w:w="1843" w:type="dxa"/>
          <w:vMerge w:val="restart"/>
          <w:vAlign w:val="center"/>
        </w:tcPr>
        <w:p w14:paraId="2771A10F" w14:textId="77777777" w:rsidR="007D4A3C" w:rsidRPr="00B36592" w:rsidRDefault="007D4A3C" w:rsidP="007746F3">
          <w:pPr>
            <w:jc w:val="center"/>
            <w:rPr>
              <w:sz w:val="20"/>
            </w:rPr>
          </w:pPr>
          <w:bookmarkStart w:id="0" w:name="_Hlk150157118"/>
          <w:r w:rsidRPr="00B36592">
            <w:rPr>
              <w:noProof/>
              <w:sz w:val="20"/>
              <w:lang w:eastAsia="tr-TR"/>
            </w:rPr>
            <w:drawing>
              <wp:anchor distT="0" distB="0" distL="114300" distR="114300" simplePos="0" relativeHeight="251658752" behindDoc="0" locked="0" layoutInCell="1" allowOverlap="1" wp14:anchorId="1FF94B92" wp14:editId="004D21EE">
                <wp:simplePos x="0" y="0"/>
                <wp:positionH relativeFrom="column">
                  <wp:posOffset>20955</wp:posOffset>
                </wp:positionH>
                <wp:positionV relativeFrom="paragraph">
                  <wp:posOffset>-1905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gridSpan w:val="4"/>
          <w:vAlign w:val="center"/>
        </w:tcPr>
        <w:p w14:paraId="4D3C91A4" w14:textId="2A72E392" w:rsidR="007D4A3C" w:rsidRPr="00AC420E" w:rsidRDefault="007D4A3C" w:rsidP="00C84AAD">
          <w:pPr>
            <w:jc w:val="center"/>
            <w:rPr>
              <w:rFonts w:ascii="Times New Roman" w:hAnsi="Times New Roman" w:cs="Times New Roman"/>
              <w:sz w:val="20"/>
            </w:rPr>
          </w:pPr>
          <w:r w:rsidRPr="00C84AAD">
            <w:rPr>
              <w:rFonts w:ascii="Times New Roman" w:hAnsi="Times New Roman" w:cs="Times New Roman"/>
            </w:rPr>
            <w:t>UYGUN OLMAYAN ANALİZİN KONTROLÜ PROSEDÜRÜ</w:t>
          </w:r>
        </w:p>
      </w:tc>
    </w:tr>
    <w:tr w:rsidR="007746F3" w:rsidRPr="00B36592" w14:paraId="6F2E117F" w14:textId="77777777" w:rsidTr="00827158">
      <w:trPr>
        <w:trHeight w:hRule="exact" w:val="289"/>
      </w:trPr>
      <w:tc>
        <w:tcPr>
          <w:tcW w:w="1843"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672" w:type="dxa"/>
          <w:vAlign w:val="center"/>
        </w:tcPr>
        <w:p w14:paraId="528E9E3C" w14:textId="64798F34" w:rsidR="007746F3" w:rsidRPr="00837053" w:rsidRDefault="00AC39C9" w:rsidP="007746F3">
          <w:pPr>
            <w:rPr>
              <w:rFonts w:ascii="Times New Roman" w:hAnsi="Times New Roman" w:cs="Times New Roman"/>
            </w:rPr>
          </w:pPr>
          <w:r>
            <w:rPr>
              <w:rFonts w:ascii="Times New Roman" w:hAnsi="Times New Roman" w:cs="Times New Roman"/>
            </w:rPr>
            <w:t>TLM-</w:t>
          </w:r>
          <w:r w:rsidR="006A18B2">
            <w:rPr>
              <w:rFonts w:ascii="Times New Roman" w:hAnsi="Times New Roman" w:cs="Times New Roman"/>
            </w:rPr>
            <w:t>73</w:t>
          </w:r>
        </w:p>
      </w:tc>
      <w:tc>
        <w:tcPr>
          <w:tcW w:w="173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685"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6F1A15" w:rsidRPr="00B36592" w14:paraId="5DED7287" w14:textId="77777777" w:rsidTr="00827158">
      <w:trPr>
        <w:trHeight w:hRule="exact" w:val="277"/>
      </w:trPr>
      <w:tc>
        <w:tcPr>
          <w:tcW w:w="1843" w:type="dxa"/>
          <w:vMerge/>
          <w:vAlign w:val="center"/>
        </w:tcPr>
        <w:p w14:paraId="55622155" w14:textId="77777777" w:rsidR="006F1A15" w:rsidRPr="00B36592" w:rsidRDefault="006F1A15" w:rsidP="006F1A15">
          <w:pPr>
            <w:rPr>
              <w:sz w:val="20"/>
            </w:rPr>
          </w:pPr>
        </w:p>
      </w:tc>
      <w:tc>
        <w:tcPr>
          <w:tcW w:w="1843" w:type="dxa"/>
          <w:vAlign w:val="center"/>
        </w:tcPr>
        <w:p w14:paraId="30A59ECF" w14:textId="77777777" w:rsidR="006F1A15" w:rsidRPr="00837053" w:rsidRDefault="006F1A15" w:rsidP="006F1A15">
          <w:pPr>
            <w:rPr>
              <w:rFonts w:ascii="Times New Roman" w:hAnsi="Times New Roman" w:cs="Times New Roman"/>
            </w:rPr>
          </w:pPr>
          <w:r w:rsidRPr="00837053">
            <w:rPr>
              <w:rFonts w:ascii="Times New Roman" w:hAnsi="Times New Roman" w:cs="Times New Roman"/>
            </w:rPr>
            <w:t>İlk Yayın Tarihi</w:t>
          </w:r>
        </w:p>
      </w:tc>
      <w:tc>
        <w:tcPr>
          <w:tcW w:w="2672" w:type="dxa"/>
          <w:vAlign w:val="center"/>
        </w:tcPr>
        <w:p w14:paraId="5CCA3860" w14:textId="16177E96" w:rsidR="006F1A15" w:rsidRPr="00837053" w:rsidRDefault="006F1A15" w:rsidP="006F1A15">
          <w:pPr>
            <w:rPr>
              <w:rFonts w:ascii="Times New Roman" w:hAnsi="Times New Roman" w:cs="Times New Roman"/>
            </w:rPr>
          </w:pPr>
          <w:r w:rsidRPr="00857CA1">
            <w:rPr>
              <w:rFonts w:ascii="Times New Roman" w:hAnsi="Times New Roman" w:cs="Times New Roman"/>
            </w:rPr>
            <w:t>24.01.2025</w:t>
          </w:r>
        </w:p>
      </w:tc>
      <w:tc>
        <w:tcPr>
          <w:tcW w:w="1738" w:type="dxa"/>
          <w:vAlign w:val="center"/>
        </w:tcPr>
        <w:p w14:paraId="54E19829" w14:textId="77777777" w:rsidR="006F1A15" w:rsidRPr="00837053" w:rsidRDefault="006F1A15" w:rsidP="006F1A15">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685" w:type="dxa"/>
          <w:vAlign w:val="center"/>
        </w:tcPr>
        <w:p w14:paraId="6D973C33" w14:textId="77777777" w:rsidR="006F1A15" w:rsidRPr="00837053" w:rsidRDefault="006F1A15" w:rsidP="006F1A15">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827158">
      <w:trPr>
        <w:trHeight w:hRule="exact" w:val="277"/>
      </w:trPr>
      <w:tc>
        <w:tcPr>
          <w:tcW w:w="1843" w:type="dxa"/>
          <w:vMerge/>
          <w:vAlign w:val="center"/>
        </w:tcPr>
        <w:p w14:paraId="794F8493" w14:textId="77777777" w:rsidR="007746F3" w:rsidRPr="00B36592" w:rsidRDefault="007746F3" w:rsidP="007746F3">
          <w:pPr>
            <w:rPr>
              <w:sz w:val="20"/>
            </w:rPr>
          </w:pPr>
        </w:p>
      </w:tc>
      <w:tc>
        <w:tcPr>
          <w:tcW w:w="4515"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38"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685" w:type="dxa"/>
          <w:vAlign w:val="center"/>
        </w:tcPr>
        <w:sdt>
          <w:sdtPr>
            <w:id w:val="527216409"/>
            <w:docPartObj>
              <w:docPartGallery w:val="Page Numbers (Bottom of Page)"/>
              <w:docPartUnique/>
            </w:docPartObj>
          </w:sdtPr>
          <w:sdtContent>
            <w:p w14:paraId="12B7091F" w14:textId="32487EB9" w:rsidR="00316953" w:rsidRDefault="00E2794C" w:rsidP="00316953">
              <w:pPr>
                <w:pStyle w:val="AltBilgi"/>
              </w:pPr>
              <w:r>
                <w:t>3</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D91C" w14:textId="77777777" w:rsidR="00E2794C" w:rsidRDefault="00E279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A8960264"/>
    <w:lvl w:ilvl="0" w:tplc="5378B808">
      <w:start w:val="1"/>
      <w:numFmt w:val="decimal"/>
      <w:lvlText w:val="%1."/>
      <w:lvlJc w:val="left"/>
      <w:pPr>
        <w:ind w:left="218" w:hanging="360"/>
      </w:pPr>
    </w:lvl>
    <w:lvl w:ilvl="1" w:tplc="041F0019">
      <w:start w:val="1"/>
      <w:numFmt w:val="lowerLetter"/>
      <w:lvlText w:val="%2."/>
      <w:lvlJc w:val="left"/>
      <w:pPr>
        <w:ind w:left="938" w:hanging="360"/>
      </w:pPr>
    </w:lvl>
    <w:lvl w:ilvl="2" w:tplc="041F001B">
      <w:start w:val="1"/>
      <w:numFmt w:val="lowerRoman"/>
      <w:lvlText w:val="%3."/>
      <w:lvlJc w:val="right"/>
      <w:pPr>
        <w:ind w:left="1658" w:hanging="180"/>
      </w:pPr>
    </w:lvl>
    <w:lvl w:ilvl="3" w:tplc="041F000F">
      <w:start w:val="1"/>
      <w:numFmt w:val="decimal"/>
      <w:lvlText w:val="%4."/>
      <w:lvlJc w:val="left"/>
      <w:pPr>
        <w:ind w:left="2378" w:hanging="360"/>
      </w:pPr>
    </w:lvl>
    <w:lvl w:ilvl="4" w:tplc="041F0019">
      <w:start w:val="1"/>
      <w:numFmt w:val="lowerLetter"/>
      <w:lvlText w:val="%5."/>
      <w:lvlJc w:val="left"/>
      <w:pPr>
        <w:ind w:left="3098" w:hanging="360"/>
      </w:pPr>
    </w:lvl>
    <w:lvl w:ilvl="5" w:tplc="041F001B">
      <w:start w:val="1"/>
      <w:numFmt w:val="lowerRoman"/>
      <w:lvlText w:val="%6."/>
      <w:lvlJc w:val="right"/>
      <w:pPr>
        <w:ind w:left="3818" w:hanging="180"/>
      </w:pPr>
    </w:lvl>
    <w:lvl w:ilvl="6" w:tplc="041F000F">
      <w:start w:val="1"/>
      <w:numFmt w:val="decimal"/>
      <w:lvlText w:val="%7."/>
      <w:lvlJc w:val="left"/>
      <w:pPr>
        <w:ind w:left="4538" w:hanging="360"/>
      </w:pPr>
    </w:lvl>
    <w:lvl w:ilvl="7" w:tplc="041F0019">
      <w:start w:val="1"/>
      <w:numFmt w:val="lowerLetter"/>
      <w:lvlText w:val="%8."/>
      <w:lvlJc w:val="left"/>
      <w:pPr>
        <w:ind w:left="5258" w:hanging="360"/>
      </w:pPr>
    </w:lvl>
    <w:lvl w:ilvl="8" w:tplc="041F001B">
      <w:start w:val="1"/>
      <w:numFmt w:val="lowerRoman"/>
      <w:lvlText w:val="%9."/>
      <w:lvlJc w:val="right"/>
      <w:pPr>
        <w:ind w:left="5978" w:hanging="180"/>
      </w:pPr>
    </w:lvl>
  </w:abstractNum>
  <w:abstractNum w:abstractNumId="1" w15:restartNumberingAfterBreak="0">
    <w:nsid w:val="0B5A22D5"/>
    <w:multiLevelType w:val="hybridMultilevel"/>
    <w:tmpl w:val="0052BF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61356"/>
    <w:multiLevelType w:val="hybridMultilevel"/>
    <w:tmpl w:val="F9A6E58A"/>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542963B2"/>
    <w:multiLevelType w:val="hybridMultilevel"/>
    <w:tmpl w:val="00BC770C"/>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o"/>
      <w:lvlJc w:val="left"/>
      <w:pPr>
        <w:tabs>
          <w:tab w:val="num" w:pos="2040"/>
        </w:tabs>
        <w:ind w:left="2040" w:hanging="360"/>
      </w:pPr>
      <w:rPr>
        <w:rFonts w:ascii="Courier New" w:hAnsi="Courier New" w:cs="Times New Roman" w:hint="default"/>
      </w:rPr>
    </w:lvl>
    <w:lvl w:ilvl="2" w:tplc="FFFFFFFF">
      <w:start w:val="1"/>
      <w:numFmt w:val="bullet"/>
      <w:lvlText w:val=""/>
      <w:lvlJc w:val="left"/>
      <w:pPr>
        <w:tabs>
          <w:tab w:val="num" w:pos="2760"/>
        </w:tabs>
        <w:ind w:left="2760" w:hanging="360"/>
      </w:pPr>
      <w:rPr>
        <w:rFonts w:ascii="Wingdings" w:hAnsi="Wingdings" w:hint="default"/>
      </w:rPr>
    </w:lvl>
    <w:lvl w:ilvl="3" w:tplc="FFFFFFFF">
      <w:start w:val="1"/>
      <w:numFmt w:val="bullet"/>
      <w:lvlText w:val=""/>
      <w:lvlJc w:val="left"/>
      <w:pPr>
        <w:tabs>
          <w:tab w:val="num" w:pos="3480"/>
        </w:tabs>
        <w:ind w:left="3480" w:hanging="360"/>
      </w:pPr>
      <w:rPr>
        <w:rFonts w:ascii="Symbol" w:hAnsi="Symbol" w:hint="default"/>
      </w:rPr>
    </w:lvl>
    <w:lvl w:ilvl="4" w:tplc="FFFFFFFF">
      <w:start w:val="1"/>
      <w:numFmt w:val="bullet"/>
      <w:lvlText w:val="o"/>
      <w:lvlJc w:val="left"/>
      <w:pPr>
        <w:tabs>
          <w:tab w:val="num" w:pos="4200"/>
        </w:tabs>
        <w:ind w:left="4200" w:hanging="360"/>
      </w:pPr>
      <w:rPr>
        <w:rFonts w:ascii="Courier New" w:hAnsi="Courier New" w:cs="Times New Roman" w:hint="default"/>
      </w:rPr>
    </w:lvl>
    <w:lvl w:ilvl="5" w:tplc="FFFFFFFF">
      <w:start w:val="1"/>
      <w:numFmt w:val="bullet"/>
      <w:lvlText w:val=""/>
      <w:lvlJc w:val="left"/>
      <w:pPr>
        <w:tabs>
          <w:tab w:val="num" w:pos="4920"/>
        </w:tabs>
        <w:ind w:left="4920" w:hanging="360"/>
      </w:pPr>
      <w:rPr>
        <w:rFonts w:ascii="Wingdings" w:hAnsi="Wingdings" w:hint="default"/>
      </w:rPr>
    </w:lvl>
    <w:lvl w:ilvl="6" w:tplc="FFFFFFFF">
      <w:start w:val="1"/>
      <w:numFmt w:val="bullet"/>
      <w:lvlText w:val=""/>
      <w:lvlJc w:val="left"/>
      <w:pPr>
        <w:tabs>
          <w:tab w:val="num" w:pos="5640"/>
        </w:tabs>
        <w:ind w:left="5640" w:hanging="360"/>
      </w:pPr>
      <w:rPr>
        <w:rFonts w:ascii="Symbol" w:hAnsi="Symbol" w:hint="default"/>
      </w:rPr>
    </w:lvl>
    <w:lvl w:ilvl="7" w:tplc="FFFFFFFF">
      <w:start w:val="1"/>
      <w:numFmt w:val="bullet"/>
      <w:lvlText w:val="o"/>
      <w:lvlJc w:val="left"/>
      <w:pPr>
        <w:tabs>
          <w:tab w:val="num" w:pos="6360"/>
        </w:tabs>
        <w:ind w:left="6360" w:hanging="360"/>
      </w:pPr>
      <w:rPr>
        <w:rFonts w:ascii="Courier New" w:hAnsi="Courier New" w:cs="Times New Roman" w:hint="default"/>
      </w:rPr>
    </w:lvl>
    <w:lvl w:ilvl="8" w:tplc="FFFFFFFF">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670E44EC"/>
    <w:multiLevelType w:val="hybridMultilevel"/>
    <w:tmpl w:val="8E48D954"/>
    <w:lvl w:ilvl="0" w:tplc="FFFFFFFF">
      <w:start w:val="1"/>
      <w:numFmt w:val="bullet"/>
      <w:lvlText w:val=""/>
      <w:lvlJc w:val="left"/>
      <w:pPr>
        <w:tabs>
          <w:tab w:val="num" w:pos="1755"/>
        </w:tabs>
        <w:ind w:left="175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75217"/>
    <w:multiLevelType w:val="hybridMultilevel"/>
    <w:tmpl w:val="0D1ADA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88976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381989">
    <w:abstractNumId w:val="5"/>
  </w:num>
  <w:num w:numId="3" w16cid:durableId="936332877">
    <w:abstractNumId w:val="1"/>
  </w:num>
  <w:num w:numId="4" w16cid:durableId="951938537">
    <w:abstractNumId w:val="3"/>
  </w:num>
  <w:num w:numId="5" w16cid:durableId="472724509">
    <w:abstractNumId w:val="4"/>
  </w:num>
  <w:num w:numId="6" w16cid:durableId="112206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C0EF4"/>
    <w:rsid w:val="00216B3D"/>
    <w:rsid w:val="00316953"/>
    <w:rsid w:val="003A602C"/>
    <w:rsid w:val="00447E5B"/>
    <w:rsid w:val="00453B44"/>
    <w:rsid w:val="00487C67"/>
    <w:rsid w:val="00567BD4"/>
    <w:rsid w:val="005B2C99"/>
    <w:rsid w:val="005B7996"/>
    <w:rsid w:val="005D3B33"/>
    <w:rsid w:val="005F3EF5"/>
    <w:rsid w:val="006756EB"/>
    <w:rsid w:val="006931FF"/>
    <w:rsid w:val="006A18B2"/>
    <w:rsid w:val="006F1A15"/>
    <w:rsid w:val="007746F3"/>
    <w:rsid w:val="007D07F3"/>
    <w:rsid w:val="007D4A3C"/>
    <w:rsid w:val="00827158"/>
    <w:rsid w:val="008515E0"/>
    <w:rsid w:val="008559F0"/>
    <w:rsid w:val="00915A06"/>
    <w:rsid w:val="009308D7"/>
    <w:rsid w:val="00A507A9"/>
    <w:rsid w:val="00A61244"/>
    <w:rsid w:val="00AC39C9"/>
    <w:rsid w:val="00AC420E"/>
    <w:rsid w:val="00AD2629"/>
    <w:rsid w:val="00B00785"/>
    <w:rsid w:val="00B27D70"/>
    <w:rsid w:val="00B33F63"/>
    <w:rsid w:val="00B43330"/>
    <w:rsid w:val="00BE47F3"/>
    <w:rsid w:val="00C84AAD"/>
    <w:rsid w:val="00DC257E"/>
    <w:rsid w:val="00E27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C6CCA0B5-EE30-4A30-AABE-42B26B95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3055">
      <w:bodyDiv w:val="1"/>
      <w:marLeft w:val="0"/>
      <w:marRight w:val="0"/>
      <w:marTop w:val="0"/>
      <w:marBottom w:val="0"/>
      <w:divBdr>
        <w:top w:val="none" w:sz="0" w:space="0" w:color="auto"/>
        <w:left w:val="none" w:sz="0" w:space="0" w:color="auto"/>
        <w:bottom w:val="none" w:sz="0" w:space="0" w:color="auto"/>
        <w:right w:val="none" w:sz="0" w:space="0" w:color="auto"/>
      </w:divBdr>
    </w:div>
    <w:div w:id="505094339">
      <w:bodyDiv w:val="1"/>
      <w:marLeft w:val="0"/>
      <w:marRight w:val="0"/>
      <w:marTop w:val="0"/>
      <w:marBottom w:val="0"/>
      <w:divBdr>
        <w:top w:val="none" w:sz="0" w:space="0" w:color="auto"/>
        <w:left w:val="none" w:sz="0" w:space="0" w:color="auto"/>
        <w:bottom w:val="none" w:sz="0" w:space="0" w:color="auto"/>
        <w:right w:val="none" w:sz="0" w:space="0" w:color="auto"/>
      </w:divBdr>
    </w:div>
    <w:div w:id="191820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10</cp:revision>
  <dcterms:created xsi:type="dcterms:W3CDTF">2024-01-02T12:06:00Z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