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DB5F" w14:textId="20AC541B" w:rsidR="00AD2629" w:rsidRPr="0049001A" w:rsidRDefault="008B348F">
      <w:pPr>
        <w:pStyle w:val="KonuBal"/>
      </w:pPr>
      <w:r>
        <w:t>+</w:t>
      </w:r>
    </w:p>
    <w:p w14:paraId="303EFD15" w14:textId="77777777" w:rsidR="00AA4C50" w:rsidRPr="0049001A" w:rsidRDefault="00AA4C50" w:rsidP="00C26275">
      <w:pPr>
        <w:widowControl/>
        <w:numPr>
          <w:ilvl w:val="0"/>
          <w:numId w:val="1"/>
        </w:numPr>
        <w:autoSpaceDE/>
        <w:autoSpaceDN/>
        <w:adjustRightInd w:val="0"/>
        <w:spacing w:line="360" w:lineRule="auto"/>
        <w:jc w:val="both"/>
        <w:rPr>
          <w:rFonts w:ascii="Times New Roman" w:eastAsia="Calibri" w:hAnsi="Times New Roman" w:cs="Times New Roman"/>
          <w:b/>
          <w:color w:val="000000"/>
          <w:lang w:val="tr-TR"/>
        </w:rPr>
      </w:pPr>
      <w:r w:rsidRPr="0049001A">
        <w:rPr>
          <w:rFonts w:ascii="Times New Roman" w:eastAsia="Calibri" w:hAnsi="Times New Roman" w:cs="Times New Roman"/>
          <w:b/>
          <w:color w:val="000000"/>
          <w:lang w:val="tr-TR"/>
        </w:rPr>
        <w:t>AMAÇ</w:t>
      </w:r>
    </w:p>
    <w:p w14:paraId="7B7FD582" w14:textId="77777777" w:rsidR="00AA4C50" w:rsidRPr="0049001A" w:rsidRDefault="00AA4C50" w:rsidP="00C26275">
      <w:pPr>
        <w:widowControl/>
        <w:adjustRightInd w:val="0"/>
        <w:spacing w:line="360" w:lineRule="auto"/>
        <w:ind w:firstLine="567"/>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İskenderun Teknik Üniversitesi, Bilim ve Teknoloji Uygulama ve Araştırma Merkezi (İSTE-BTM) laboratuvarında yapılan analiz sonuçlarının TS EN ISO/IEC 17025 gereklerini karşılayacak şekilde rapor haline getirilerek standardize edilmesidir.</w:t>
      </w:r>
    </w:p>
    <w:p w14:paraId="722ED5FB" w14:textId="77777777" w:rsidR="00AA4C50" w:rsidRPr="0049001A" w:rsidRDefault="00AA4C50" w:rsidP="00C26275">
      <w:pPr>
        <w:widowControl/>
        <w:numPr>
          <w:ilvl w:val="0"/>
          <w:numId w:val="1"/>
        </w:numPr>
        <w:autoSpaceDE/>
        <w:autoSpaceDN/>
        <w:adjustRightInd w:val="0"/>
        <w:spacing w:line="360" w:lineRule="auto"/>
        <w:jc w:val="both"/>
        <w:rPr>
          <w:rFonts w:ascii="Times New Roman" w:eastAsia="Calibri" w:hAnsi="Times New Roman" w:cs="Times New Roman"/>
          <w:b/>
          <w:color w:val="000000"/>
          <w:lang w:val="tr-TR"/>
        </w:rPr>
      </w:pPr>
      <w:r w:rsidRPr="0049001A">
        <w:rPr>
          <w:rFonts w:ascii="Times New Roman" w:eastAsia="Calibri" w:hAnsi="Times New Roman" w:cs="Times New Roman"/>
          <w:b/>
          <w:color w:val="000000"/>
          <w:lang w:val="tr-TR"/>
        </w:rPr>
        <w:t xml:space="preserve">KAPSAM </w:t>
      </w:r>
    </w:p>
    <w:p w14:paraId="09D404D5" w14:textId="77777777" w:rsidR="00AA4C50" w:rsidRPr="0049001A" w:rsidRDefault="00AA4C50" w:rsidP="00C26275">
      <w:pPr>
        <w:widowControl/>
        <w:adjustRightInd w:val="0"/>
        <w:spacing w:line="360" w:lineRule="auto"/>
        <w:ind w:firstLine="567"/>
        <w:jc w:val="both"/>
        <w:rPr>
          <w:rFonts w:ascii="Times New Roman" w:eastAsia="Calibri" w:hAnsi="Times New Roman" w:cs="Times New Roman"/>
          <w:bCs/>
          <w:color w:val="000000"/>
          <w:lang w:val="tr-TR"/>
        </w:rPr>
      </w:pPr>
      <w:r w:rsidRPr="0049001A">
        <w:rPr>
          <w:rFonts w:ascii="Times New Roman" w:eastAsia="Calibri" w:hAnsi="Times New Roman" w:cs="Times New Roman"/>
          <w:bCs/>
          <w:color w:val="000000"/>
          <w:lang w:val="tr-TR"/>
        </w:rPr>
        <w:t>İSTE-BTM laboratuvarında yapılan tüm analizleri kapsar.</w:t>
      </w:r>
    </w:p>
    <w:p w14:paraId="25CA2297" w14:textId="77777777" w:rsidR="00AA4C50" w:rsidRPr="0049001A" w:rsidRDefault="00AA4C50" w:rsidP="00C26275">
      <w:pPr>
        <w:widowControl/>
        <w:numPr>
          <w:ilvl w:val="0"/>
          <w:numId w:val="1"/>
        </w:numPr>
        <w:autoSpaceDE/>
        <w:autoSpaceDN/>
        <w:adjustRightInd w:val="0"/>
        <w:spacing w:line="360" w:lineRule="auto"/>
        <w:jc w:val="both"/>
        <w:rPr>
          <w:rFonts w:ascii="Times New Roman" w:eastAsia="Calibri" w:hAnsi="Times New Roman" w:cs="Times New Roman"/>
          <w:b/>
          <w:color w:val="000000"/>
          <w:lang w:val="tr-TR"/>
        </w:rPr>
      </w:pPr>
      <w:r w:rsidRPr="0049001A">
        <w:rPr>
          <w:rFonts w:ascii="Times New Roman" w:eastAsia="Calibri" w:hAnsi="Times New Roman" w:cs="Times New Roman"/>
          <w:b/>
          <w:color w:val="000000"/>
          <w:lang w:val="tr-TR"/>
        </w:rPr>
        <w:t xml:space="preserve">SORUMLULAR </w:t>
      </w:r>
    </w:p>
    <w:p w14:paraId="569DD212" w14:textId="77777777" w:rsidR="00AA4C50" w:rsidRPr="0049001A" w:rsidRDefault="00AA4C50" w:rsidP="00C26275">
      <w:pPr>
        <w:widowControl/>
        <w:adjustRightInd w:val="0"/>
        <w:spacing w:line="360" w:lineRule="auto"/>
        <w:ind w:firstLine="567"/>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İSTE-BTM Laboratuvar Müdürü/Müdür Yardımcısı ve Rapor Hazırlama Sorumlusu</w:t>
      </w:r>
    </w:p>
    <w:p w14:paraId="7F90E6DC" w14:textId="77777777" w:rsidR="00AA4C50" w:rsidRPr="0049001A" w:rsidRDefault="00AA4C50" w:rsidP="00C26275">
      <w:pPr>
        <w:widowControl/>
        <w:numPr>
          <w:ilvl w:val="0"/>
          <w:numId w:val="1"/>
        </w:numPr>
        <w:autoSpaceDE/>
        <w:autoSpaceDN/>
        <w:spacing w:line="360" w:lineRule="auto"/>
        <w:contextualSpacing/>
        <w:rPr>
          <w:rFonts w:ascii="Times New Roman" w:eastAsia="Calibri" w:hAnsi="Times New Roman" w:cs="Times New Roman"/>
          <w:b/>
          <w:bCs/>
          <w:lang w:val="tr-TR"/>
        </w:rPr>
      </w:pPr>
      <w:r w:rsidRPr="0049001A">
        <w:rPr>
          <w:rFonts w:ascii="Times New Roman" w:eastAsia="Calibri" w:hAnsi="Times New Roman" w:cs="Times New Roman"/>
          <w:b/>
          <w:bCs/>
          <w:lang w:val="tr-TR"/>
        </w:rPr>
        <w:t>İLGİLİ BİRİMLER</w:t>
      </w:r>
    </w:p>
    <w:p w14:paraId="74F57C75" w14:textId="77777777" w:rsidR="00AA4C50" w:rsidRPr="0049001A" w:rsidRDefault="00AA4C50" w:rsidP="00C26275">
      <w:pPr>
        <w:widowControl/>
        <w:adjustRightInd w:val="0"/>
        <w:spacing w:line="360" w:lineRule="auto"/>
        <w:ind w:firstLine="567"/>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 xml:space="preserve">Tüm İSTE-BTM laboratuvarları </w:t>
      </w:r>
    </w:p>
    <w:p w14:paraId="08B47C22" w14:textId="77777777" w:rsidR="00AA4C50" w:rsidRPr="0049001A" w:rsidRDefault="00AA4C50" w:rsidP="00C26275">
      <w:pPr>
        <w:widowControl/>
        <w:numPr>
          <w:ilvl w:val="0"/>
          <w:numId w:val="1"/>
        </w:numPr>
        <w:autoSpaceDE/>
        <w:autoSpaceDN/>
        <w:spacing w:line="360" w:lineRule="auto"/>
        <w:contextualSpacing/>
        <w:rPr>
          <w:rFonts w:ascii="Times New Roman" w:eastAsia="Calibri" w:hAnsi="Times New Roman" w:cs="Times New Roman"/>
          <w:lang w:val="tr-TR"/>
        </w:rPr>
      </w:pPr>
      <w:r w:rsidRPr="0049001A">
        <w:rPr>
          <w:rFonts w:ascii="Times New Roman" w:eastAsia="Calibri" w:hAnsi="Times New Roman" w:cs="Times New Roman"/>
          <w:b/>
          <w:lang w:val="tr-TR"/>
        </w:rPr>
        <w:t>UYGULAMA</w:t>
      </w:r>
    </w:p>
    <w:p w14:paraId="0F0ADFEC" w14:textId="77777777" w:rsidR="00AA4C50" w:rsidRPr="0049001A" w:rsidRDefault="00AA4C50" w:rsidP="00AA4C50">
      <w:pPr>
        <w:widowControl/>
        <w:adjustRightInd w:val="0"/>
        <w:spacing w:after="160" w:line="360" w:lineRule="auto"/>
        <w:ind w:firstLine="567"/>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İSTE-BTM Laboratuvarı’nda yapılan analiz sonuçlarının müşteriye bildirilmesi için İSTE-BTM tarafından TS EN ISO/IEC 17025 gereklerini karşılamak üzere standardize edilmiş “Analiz Raporu” formatı kullanılır.</w:t>
      </w:r>
    </w:p>
    <w:p w14:paraId="2F3D23B9" w14:textId="77777777" w:rsidR="00AA4C50" w:rsidRPr="0049001A" w:rsidRDefault="00AA4C50" w:rsidP="00AA4C50">
      <w:pPr>
        <w:widowControl/>
        <w:adjustRightInd w:val="0"/>
        <w:spacing w:after="160" w:line="360" w:lineRule="auto"/>
        <w:ind w:firstLine="397"/>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Analiz Raporları, İSTE-BTM laboratuvarının TÜRKAK tarafından kabul edilen kapsamında yer alan analizler ve TÜRKAK Akreditasyon logolu analiz raporu talep eden müşteriler için, uygun formatta düzenlenir.</w:t>
      </w:r>
    </w:p>
    <w:p w14:paraId="57903284" w14:textId="77777777" w:rsidR="00AA4C50" w:rsidRPr="0049001A" w:rsidRDefault="00AA4C50" w:rsidP="00AA4C50">
      <w:pPr>
        <w:widowControl/>
        <w:autoSpaceDE/>
        <w:autoSpaceDN/>
        <w:spacing w:after="160" w:line="360" w:lineRule="auto"/>
        <w:jc w:val="both"/>
        <w:rPr>
          <w:rFonts w:ascii="Times New Roman" w:eastAsia="Calibri" w:hAnsi="Times New Roman" w:cs="Times New Roman"/>
          <w:lang w:val="tr-TR"/>
        </w:rPr>
      </w:pPr>
      <w:r w:rsidRPr="0049001A">
        <w:rPr>
          <w:rFonts w:ascii="Times New Roman" w:eastAsia="Calibri" w:hAnsi="Times New Roman" w:cs="Times New Roman"/>
          <w:lang w:val="tr-TR"/>
        </w:rPr>
        <w:t>Analiz Raporunda;</w:t>
      </w:r>
    </w:p>
    <w:p w14:paraId="51EEE8A4"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Rapor numarası,</w:t>
      </w:r>
    </w:p>
    <w:p w14:paraId="555FAAA0"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Tarih,</w:t>
      </w:r>
    </w:p>
    <w:p w14:paraId="5221AE2A"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Sayfa sayısı,</w:t>
      </w:r>
    </w:p>
    <w:p w14:paraId="71236CA1"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Toplam Sayfa Sayısı,</w:t>
      </w:r>
    </w:p>
    <w:p w14:paraId="770B417D"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Doküman kodu, revizyon numarası ve tarihi,</w:t>
      </w:r>
    </w:p>
    <w:p w14:paraId="05DC52EC"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Müşteri bilgileri; Adı, adresi, tarih, İSTE-BTM Laboratuvar Kodu,</w:t>
      </w:r>
    </w:p>
    <w:p w14:paraId="7065DA9C"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Numune bilgileri; Numunenin Adı, üretim yeri, kabul tarihi, analiz başlangıç bitiş tarihi, açıklamalar,</w:t>
      </w:r>
    </w:p>
    <w:p w14:paraId="0E807954"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“Analiz sonuçları İSTE-BTM Laboratuvarı’na firma / kurum tarafından getirilen numuneye ait sonuçlardır, bütünü temsil etmeyebilir” ifadesi,</w:t>
      </w:r>
    </w:p>
    <w:p w14:paraId="71BB394B"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 xml:space="preserve"> “Analiz ve/veya ölçüm sonuçları, ölçüm belirsizlikleri ve Analiz metotları bundan sonraki sayfalarda verilmiştir” ifadesi,</w:t>
      </w:r>
    </w:p>
    <w:p w14:paraId="3691F1C6"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lastRenderedPageBreak/>
        <w:t xml:space="preserve">Mühür, tarih, Analiz Sorumlusu ve Laboratuvar Müdürü’nün sicil numaraları, imzaları </w:t>
      </w:r>
    </w:p>
    <w:p w14:paraId="17F518C4"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Rapor numarası ve tarih,</w:t>
      </w:r>
    </w:p>
    <w:p w14:paraId="30C3D6E5"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Kapsamda yer alan analizler ve kodları,</w:t>
      </w:r>
    </w:p>
    <w:p w14:paraId="6417D1CD"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Analiz sonuçlarının birimleri,</w:t>
      </w:r>
    </w:p>
    <w:p w14:paraId="00D891AC"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Referans sınır değerleri (en az/en çok),</w:t>
      </w:r>
    </w:p>
    <w:p w14:paraId="0F59320E"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Ölçüm belirsizlikleri,</w:t>
      </w:r>
    </w:p>
    <w:p w14:paraId="6BE1E9E6"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Ölçüm değeri (Analiz Sonuçları),</w:t>
      </w:r>
    </w:p>
    <w:p w14:paraId="54D70557"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Kullanılan analiz yöntemleri yer alır.</w:t>
      </w:r>
    </w:p>
    <w:p w14:paraId="57F4C8AD" w14:textId="77777777" w:rsidR="00AA4C50" w:rsidRPr="0049001A" w:rsidRDefault="00AA4C50" w:rsidP="00AA4C50">
      <w:pPr>
        <w:widowControl/>
        <w:autoSpaceDE/>
        <w:autoSpaceDN/>
        <w:spacing w:after="160" w:line="360" w:lineRule="auto"/>
        <w:ind w:firstLine="567"/>
        <w:jc w:val="both"/>
        <w:rPr>
          <w:rFonts w:ascii="Times New Roman" w:eastAsia="Calibri" w:hAnsi="Times New Roman" w:cs="Times New Roman"/>
          <w:lang w:val="tr-TR"/>
        </w:rPr>
      </w:pPr>
      <w:r w:rsidRPr="0049001A">
        <w:rPr>
          <w:rFonts w:ascii="Times New Roman" w:eastAsia="Calibri" w:hAnsi="Times New Roman" w:cs="Times New Roman"/>
          <w:lang w:val="tr-TR"/>
        </w:rPr>
        <w:t xml:space="preserve">Açıklamalar kısmında “Bu </w:t>
      </w:r>
      <w:proofErr w:type="gramStart"/>
      <w:r w:rsidRPr="0049001A">
        <w:rPr>
          <w:rFonts w:ascii="Times New Roman" w:eastAsia="Calibri" w:hAnsi="Times New Roman" w:cs="Times New Roman"/>
          <w:lang w:val="tr-TR"/>
        </w:rPr>
        <w:t>rapor  …</w:t>
      </w:r>
      <w:proofErr w:type="gramEnd"/>
      <w:r w:rsidRPr="0049001A">
        <w:rPr>
          <w:rFonts w:ascii="Times New Roman" w:eastAsia="Calibri" w:hAnsi="Times New Roman" w:cs="Times New Roman"/>
          <w:lang w:val="tr-TR"/>
        </w:rPr>
        <w:t xml:space="preserve"> sayfadan oluşmaktadır ve İSTE-BTM Laboratuvar Müdürünün izni olmadan kısmen kopyalanıp çoğaltılamaz. İmzasız ve mühürsüz raporlar geçersizdir. Analiz sonuçları analizi yapılan numuneye ait olup, Analiz sonuçlarına … gün/ay (bu süre şahit saklama süresi dikkate alınarak verilmiştir) içinde itiraz edilebilir” ifadesi kullanılır.</w:t>
      </w:r>
    </w:p>
    <w:p w14:paraId="64C3682A" w14:textId="77777777" w:rsidR="00AA4C50" w:rsidRPr="0049001A" w:rsidRDefault="00AA4C50" w:rsidP="00AA4C50">
      <w:pPr>
        <w:widowControl/>
        <w:adjustRightInd w:val="0"/>
        <w:spacing w:after="160" w:line="360" w:lineRule="auto"/>
        <w:ind w:firstLine="567"/>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 xml:space="preserve">TÜRKAK kapsamda yer alan ancak; İSTE-BTM Laboratuvarı’nın akredite olamadığı analizler için aynı Analiz Raporunda “*“işareti kullanılarak “AKREDİTE DEĞİLDİR” ifadesi kullanılır. </w:t>
      </w:r>
    </w:p>
    <w:p w14:paraId="378012DD" w14:textId="77777777" w:rsidR="00AA4C50" w:rsidRPr="0049001A" w:rsidRDefault="00AA4C50" w:rsidP="00AA4C50">
      <w:pPr>
        <w:widowControl/>
        <w:adjustRightInd w:val="0"/>
        <w:spacing w:after="160" w:line="360" w:lineRule="auto"/>
        <w:ind w:firstLine="709"/>
        <w:jc w:val="both"/>
        <w:rPr>
          <w:rFonts w:ascii="Times New Roman" w:eastAsia="Calibri" w:hAnsi="Times New Roman" w:cs="Times New Roman"/>
          <w:color w:val="000000"/>
          <w:lang w:val="tr-TR"/>
        </w:rPr>
      </w:pPr>
      <w:r w:rsidRPr="0049001A">
        <w:rPr>
          <w:rFonts w:ascii="Times New Roman" w:eastAsia="Calibri" w:hAnsi="Times New Roman" w:cs="Times New Roman"/>
          <w:color w:val="000000"/>
          <w:lang w:val="tr-TR"/>
        </w:rPr>
        <w:t>TÜRKAK kapsamında yer almayan ve İSTE-BTM laboratuvarının akredite olmadığı analizler için ayrı Analiz Raporu düzenlenir.</w:t>
      </w:r>
    </w:p>
    <w:p w14:paraId="47606893" w14:textId="77777777" w:rsidR="00AA4C50" w:rsidRPr="0049001A" w:rsidRDefault="00AA4C50" w:rsidP="00AA4C50">
      <w:pPr>
        <w:widowControl/>
        <w:autoSpaceDE/>
        <w:autoSpaceDN/>
        <w:spacing w:after="160" w:line="360" w:lineRule="auto"/>
        <w:jc w:val="both"/>
        <w:rPr>
          <w:rFonts w:ascii="Times New Roman" w:eastAsia="Calibri" w:hAnsi="Times New Roman" w:cs="Times New Roman"/>
          <w:lang w:val="tr-TR"/>
        </w:rPr>
      </w:pPr>
      <w:r w:rsidRPr="0049001A">
        <w:rPr>
          <w:rFonts w:ascii="Times New Roman" w:eastAsia="Calibri" w:hAnsi="Times New Roman" w:cs="Times New Roman"/>
          <w:lang w:val="tr-TR"/>
        </w:rPr>
        <w:t>Analiz sonuçlarının yorumlanması gerektiğinde;</w:t>
      </w:r>
    </w:p>
    <w:p w14:paraId="5898A365"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Varsa Analiz yönteminden sapma, ekleme, çıkarmalar</w:t>
      </w:r>
    </w:p>
    <w:p w14:paraId="72C14B48"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Gerektiğinde ilgili standart veya şartnamelere uygunluğu hakkında yorumlar</w:t>
      </w:r>
    </w:p>
    <w:p w14:paraId="7C71F114"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Müşteri tarafından istendiğinde ilgili maddede açıklandığı şekilde ölçüm belirsizliği</w:t>
      </w:r>
    </w:p>
    <w:p w14:paraId="3A3A8A12" w14:textId="77777777" w:rsidR="00AA4C50" w:rsidRPr="0049001A" w:rsidRDefault="00AA4C50" w:rsidP="00AA4C50">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Gerektiğinde ilave görüş ve yorumlar (ürünün farklı kullanım alanları için önerilmesi vb.)</w:t>
      </w:r>
    </w:p>
    <w:p w14:paraId="72CFAD7A" w14:textId="77777777" w:rsidR="00AA4C50" w:rsidRPr="0049001A" w:rsidRDefault="00AA4C50" w:rsidP="00AA4C50">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Analiz Sonuçlarının ve bulgular ve/veya ham veriler ile ilgili detaylı bilgi verilmesi gerektiğinde rapora “Tablolar, Grafikler, Çizelgeler ve Fotoğraflarla Desteklenen Ölçümler” eklenir.</w:t>
      </w:r>
    </w:p>
    <w:p w14:paraId="243F1277" w14:textId="77777777" w:rsidR="00AA4C50" w:rsidRPr="0049001A" w:rsidRDefault="00AA4C50" w:rsidP="00AA4C50">
      <w:pPr>
        <w:widowControl/>
        <w:autoSpaceDE/>
        <w:autoSpaceDN/>
        <w:spacing w:after="160" w:line="360" w:lineRule="auto"/>
        <w:jc w:val="both"/>
        <w:rPr>
          <w:rFonts w:ascii="Times New Roman" w:eastAsia="Calibri" w:hAnsi="Times New Roman" w:cs="Times New Roman"/>
          <w:lang w:val="tr-TR"/>
        </w:rPr>
      </w:pPr>
      <w:r w:rsidRPr="0049001A">
        <w:rPr>
          <w:rFonts w:ascii="Times New Roman" w:eastAsia="Calibri" w:hAnsi="Times New Roman" w:cs="Times New Roman"/>
          <w:lang w:val="tr-TR"/>
        </w:rPr>
        <w:t>Ayrıca;</w:t>
      </w:r>
    </w:p>
    <w:p w14:paraId="22B41D7F" w14:textId="77777777" w:rsidR="00AA4C50" w:rsidRPr="0049001A" w:rsidRDefault="00AA4C50" w:rsidP="00AA4C50">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Teknik düzenlemelere aykırı olan parametrelerin muayene raporlarında açıklanması,</w:t>
      </w:r>
    </w:p>
    <w:p w14:paraId="72DC68CD" w14:textId="77777777" w:rsidR="00AA4C50" w:rsidRPr="0049001A" w:rsidRDefault="00AA4C50" w:rsidP="00AA4C50">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Teknik düzenlemelere aykırı olan parametrenin laboratuvarlar arası tekrar elde edilebilirlik sınırları içerisinde kalması halinde muayene raporlarına kaydedilmesi ve uygun değerlendirildiğinin belirlenmesi gereklidir.</w:t>
      </w:r>
    </w:p>
    <w:p w14:paraId="0CAD6E3F" w14:textId="77777777" w:rsidR="00AA4C50" w:rsidRPr="0049001A" w:rsidRDefault="00AA4C50" w:rsidP="00AA4C50">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lastRenderedPageBreak/>
        <w:t>Akreditasyon kapsamı dışında herhangi bir yorum, analiz vs. yapıldığı takdirde yapılan işlemin kapsam dışında olduğu (akredite) olmadığı, raporda gerekli tanımlama ile belirtilir.</w:t>
      </w:r>
    </w:p>
    <w:p w14:paraId="746B1E68" w14:textId="77777777" w:rsidR="00AA4C50" w:rsidRPr="0049001A" w:rsidRDefault="00AA4C50" w:rsidP="00AA4C50">
      <w:pPr>
        <w:widowControl/>
        <w:autoSpaceDE/>
        <w:autoSpaceDN/>
        <w:spacing w:after="160" w:line="360" w:lineRule="auto"/>
        <w:jc w:val="both"/>
        <w:rPr>
          <w:rFonts w:ascii="Times New Roman" w:eastAsia="Calibri" w:hAnsi="Times New Roman" w:cs="Times New Roman"/>
          <w:lang w:val="tr-TR"/>
        </w:rPr>
      </w:pPr>
      <w:r w:rsidRPr="0049001A">
        <w:rPr>
          <w:rFonts w:ascii="Times New Roman" w:eastAsia="Calibri" w:hAnsi="Times New Roman" w:cs="Times New Roman"/>
          <w:lang w:val="tr-TR"/>
        </w:rPr>
        <w:t>Sonuçların elektronik olarak iletilmesi;</w:t>
      </w:r>
    </w:p>
    <w:p w14:paraId="4C7A6C79" w14:textId="77777777" w:rsidR="00AA4C50" w:rsidRPr="0049001A" w:rsidRDefault="00AA4C50" w:rsidP="00AA4C50">
      <w:pPr>
        <w:widowControl/>
        <w:numPr>
          <w:ilvl w:val="0"/>
          <w:numId w:val="5"/>
        </w:numPr>
        <w:autoSpaceDE/>
        <w:autoSpaceDN/>
        <w:spacing w:after="160" w:line="360" w:lineRule="auto"/>
        <w:ind w:left="709" w:hanging="283"/>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Laboratuvarımızda analiz sonuçlarının elektronik ortamda gönderilmesine ilişkin müşteri tarafından talep olduğunda bu istemini numune teslim aşamasında ilgili sorumluya yazılı olarak (ulaşım bilgilerini e-posta vb. belirtmeli) yapmalıdır.</w:t>
      </w:r>
    </w:p>
    <w:p w14:paraId="0FA03EFE" w14:textId="77777777" w:rsidR="00AA4C50" w:rsidRPr="0049001A" w:rsidRDefault="00AA4C50" w:rsidP="00AA4C50">
      <w:pPr>
        <w:widowControl/>
        <w:numPr>
          <w:ilvl w:val="0"/>
          <w:numId w:val="5"/>
        </w:numPr>
        <w:autoSpaceDE/>
        <w:autoSpaceDN/>
        <w:spacing w:after="160" w:line="360" w:lineRule="auto"/>
        <w:ind w:left="709" w:hanging="283"/>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Rapor formatı; TÜRKAK Logolu Analiz Raporları, TÜRKAK Markalı Analiz Raporlarına İlişkin Şartlar Hakkında Tebliği’ne uygun olarak hazırlanmış ve bilgisayarda saklanmaktadır.</w:t>
      </w:r>
    </w:p>
    <w:p w14:paraId="119D525E" w14:textId="77777777" w:rsidR="00AA4C50" w:rsidRPr="0049001A" w:rsidRDefault="00AA4C50" w:rsidP="00AA4C50">
      <w:pPr>
        <w:widowControl/>
        <w:autoSpaceDE/>
        <w:autoSpaceDN/>
        <w:spacing w:after="160" w:line="360" w:lineRule="auto"/>
        <w:jc w:val="both"/>
        <w:rPr>
          <w:rFonts w:ascii="Times New Roman" w:eastAsia="Calibri" w:hAnsi="Times New Roman" w:cs="Times New Roman"/>
          <w:lang w:val="tr-TR"/>
        </w:rPr>
      </w:pPr>
      <w:r w:rsidRPr="0049001A">
        <w:rPr>
          <w:rFonts w:ascii="Times New Roman" w:eastAsia="Calibri" w:hAnsi="Times New Roman" w:cs="Times New Roman"/>
          <w:lang w:val="tr-TR"/>
        </w:rPr>
        <w:t>Analiz Raporlarında yapılan değişiklikler;</w:t>
      </w:r>
    </w:p>
    <w:p w14:paraId="5B6DAD8C"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 xml:space="preserve">Analiz Raporunun, Müşteriye gönderildikten sonra düzeltilmesi, ek yapılması veya tamamının değiştirilmesi gerektiğinde ilk raporu tanımlayan seri numarası da yazılarak değişiklik eki hazırlanır. Revizyona uğradığını belirtmek için seri numarasının yanına ‘’R’’ getirilerek revizyona uğradığı tanımlanır. </w:t>
      </w:r>
    </w:p>
    <w:p w14:paraId="19A7C60E"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Basılı evrak olarak kullanıldığında, raporda hata saptanır ise sayfalar hiçbir zaman koparılıp atılmaz, ilgili sayfanın imha edildiği/iptali üzerinde tanımlanarak paraflanır ve kopyalar koçanda bırakılır.</w:t>
      </w:r>
    </w:p>
    <w:p w14:paraId="5465B3AB"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Analiz raporlarındaki revizyonlar raporun açılamalar kısmında ve Revizyon Takip Formunda açıklanır.</w:t>
      </w:r>
    </w:p>
    <w:p w14:paraId="5CAA83E2" w14:textId="77777777" w:rsidR="00AA4C50" w:rsidRPr="0049001A" w:rsidRDefault="00AA4C50" w:rsidP="00AA4C50">
      <w:pPr>
        <w:widowControl/>
        <w:autoSpaceDE/>
        <w:autoSpaceDN/>
        <w:spacing w:after="160" w:line="360" w:lineRule="auto"/>
        <w:ind w:left="1287"/>
        <w:contextualSpacing/>
        <w:jc w:val="both"/>
        <w:rPr>
          <w:rFonts w:ascii="Times New Roman" w:eastAsia="Calibri" w:hAnsi="Times New Roman" w:cs="Times New Roman"/>
          <w:lang w:val="tr-TR"/>
        </w:rPr>
      </w:pPr>
    </w:p>
    <w:p w14:paraId="14924A00" w14:textId="77777777" w:rsidR="00AA4C50" w:rsidRPr="0049001A" w:rsidRDefault="00AA4C50" w:rsidP="00AA4C50">
      <w:pPr>
        <w:widowControl/>
        <w:numPr>
          <w:ilvl w:val="0"/>
          <w:numId w:val="1"/>
        </w:numPr>
        <w:autoSpaceDE/>
        <w:autoSpaceDN/>
        <w:spacing w:after="160" w:line="360" w:lineRule="auto"/>
        <w:contextualSpacing/>
        <w:rPr>
          <w:rFonts w:ascii="Times New Roman" w:eastAsia="Calibri" w:hAnsi="Times New Roman" w:cs="Times New Roman"/>
          <w:b/>
          <w:color w:val="000000"/>
          <w:lang w:val="tr-TR"/>
        </w:rPr>
      </w:pPr>
      <w:r w:rsidRPr="0049001A">
        <w:rPr>
          <w:rFonts w:ascii="Times New Roman" w:eastAsia="Calibri" w:hAnsi="Times New Roman" w:cs="Times New Roman"/>
          <w:b/>
          <w:color w:val="000000"/>
          <w:lang w:val="tr-TR"/>
        </w:rPr>
        <w:t>İLGİLİ DOKÜMANLAR</w:t>
      </w:r>
    </w:p>
    <w:p w14:paraId="4B2D8DC2"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Analiz Raporları</w:t>
      </w:r>
    </w:p>
    <w:p w14:paraId="2DA42850"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bookmarkStart w:id="0" w:name="_Hlk44073433"/>
      <w:r w:rsidRPr="0049001A">
        <w:rPr>
          <w:rFonts w:ascii="Times New Roman" w:eastAsia="Calibri" w:hAnsi="Times New Roman" w:cs="Times New Roman"/>
          <w:lang w:val="tr-TR"/>
        </w:rPr>
        <w:t>Revizyon Takip Formu</w:t>
      </w:r>
    </w:p>
    <w:bookmarkEnd w:id="0"/>
    <w:p w14:paraId="0DAB60EE"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TS EN ISO/IEC 17025 (Güncel Revizyon)</w:t>
      </w:r>
    </w:p>
    <w:p w14:paraId="02B2321A" w14:textId="77777777" w:rsidR="00AA4C50" w:rsidRPr="0049001A" w:rsidRDefault="00AA4C50" w:rsidP="00AA4C50">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49001A">
        <w:rPr>
          <w:rFonts w:ascii="Times New Roman" w:eastAsia="Calibri" w:hAnsi="Times New Roman" w:cs="Times New Roman"/>
          <w:lang w:val="tr-TR"/>
        </w:rPr>
        <w:t>TÜRKAK Markalı Analiz Raporlarına İlişkin Şartlar Hakkında Tebliğ (R20.18)</w:t>
      </w:r>
    </w:p>
    <w:p w14:paraId="0938C64C" w14:textId="77777777" w:rsidR="00AA4C50" w:rsidRPr="0049001A" w:rsidRDefault="00AA4C50" w:rsidP="00AA4C50">
      <w:pPr>
        <w:widowControl/>
        <w:autoSpaceDE/>
        <w:autoSpaceDN/>
        <w:spacing w:after="160" w:line="360" w:lineRule="auto"/>
        <w:ind w:left="207"/>
        <w:jc w:val="both"/>
        <w:rPr>
          <w:rFonts w:ascii="Times New Roman" w:eastAsia="Calibri" w:hAnsi="Times New Roman" w:cs="Times New Roman"/>
          <w:lang w:val="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AA4C50" w:rsidRPr="0049001A" w14:paraId="332FB8CB" w14:textId="77777777" w:rsidTr="00AA4C50">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621C0396" w14:textId="77777777" w:rsidR="00AA4C50" w:rsidRPr="0049001A" w:rsidRDefault="00AA4C50" w:rsidP="00AA4C50">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49001A">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67C2883E" w14:textId="77777777" w:rsidR="00AA4C50" w:rsidRPr="0049001A" w:rsidRDefault="00AA4C50" w:rsidP="00AA4C50">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49001A">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CF19F9F" w14:textId="77777777" w:rsidR="00AA4C50" w:rsidRPr="0049001A" w:rsidRDefault="00AA4C50" w:rsidP="00AA4C50">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49001A">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64FBEDE7" w14:textId="77777777" w:rsidR="00AA4C50" w:rsidRDefault="00AA4C50" w:rsidP="00AA4C50">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49001A">
              <w:rPr>
                <w:rFonts w:ascii="Times New Roman" w:eastAsia="Calibri" w:hAnsi="Times New Roman" w:cs="Times New Roman"/>
                <w:b/>
                <w:bCs/>
                <w:lang w:val="tr-TR"/>
              </w:rPr>
              <w:t>Değişiklik Açıklaması / Nedeni</w:t>
            </w:r>
          </w:p>
          <w:p w14:paraId="2647A111" w14:textId="77777777" w:rsidR="00C26275" w:rsidRDefault="00C26275" w:rsidP="00AA4C50">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4C855C38" w14:textId="77777777" w:rsidR="00C26275" w:rsidRPr="0049001A" w:rsidRDefault="00C26275" w:rsidP="00AA4C50">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tc>
      </w:tr>
    </w:tbl>
    <w:p w14:paraId="13C5D1DA" w14:textId="77777777" w:rsidR="00316953" w:rsidRPr="0049001A" w:rsidRDefault="00316953" w:rsidP="00C26275">
      <w:pPr>
        <w:pStyle w:val="KonuBal"/>
        <w:ind w:left="0"/>
      </w:pPr>
    </w:p>
    <w:sectPr w:rsidR="00316953" w:rsidRPr="0049001A" w:rsidSect="0043716C">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CEE9" w14:textId="77777777" w:rsidR="00844FD1" w:rsidRDefault="00844FD1" w:rsidP="007746F3">
      <w:r>
        <w:separator/>
      </w:r>
    </w:p>
  </w:endnote>
  <w:endnote w:type="continuationSeparator" w:id="0">
    <w:p w14:paraId="39A8CAC1" w14:textId="77777777" w:rsidR="00844FD1" w:rsidRDefault="00844FD1"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CA6" w14:textId="77777777" w:rsidR="00C26275" w:rsidRDefault="00C2627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923" w:type="dxa"/>
      <w:tblInd w:w="-147" w:type="dxa"/>
      <w:shd w:val="clear" w:color="auto" w:fill="A6A6A6" w:themeFill="background1" w:themeFillShade="A6"/>
      <w:tblLook w:val="04A0" w:firstRow="1" w:lastRow="0" w:firstColumn="1" w:lastColumn="0" w:noHBand="0" w:noVBand="1"/>
    </w:tblPr>
    <w:tblGrid>
      <w:gridCol w:w="3431"/>
      <w:gridCol w:w="3799"/>
      <w:gridCol w:w="2693"/>
    </w:tblGrid>
    <w:tr w:rsidR="007746F3" w14:paraId="633DDC21" w14:textId="77777777" w:rsidTr="0049001A">
      <w:trPr>
        <w:trHeight w:val="699"/>
      </w:trPr>
      <w:tc>
        <w:tcPr>
          <w:tcW w:w="3431"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BEA94E0" w14:textId="77777777" w:rsidR="002A737F" w:rsidRDefault="002A737F" w:rsidP="007746F3">
          <w:pPr>
            <w:tabs>
              <w:tab w:val="center" w:pos="4536"/>
              <w:tab w:val="right" w:pos="9072"/>
            </w:tabs>
            <w:jc w:val="center"/>
            <w:rPr>
              <w:rFonts w:ascii="Times New Roman" w:hAnsi="Times New Roman" w:cs="Times New Roman"/>
              <w:b/>
              <w:color w:val="000000" w:themeColor="text1"/>
              <w:sz w:val="16"/>
              <w:szCs w:val="16"/>
            </w:rPr>
          </w:pPr>
        </w:p>
        <w:p w14:paraId="25BB067B" w14:textId="52B0D826" w:rsidR="007746F3" w:rsidRDefault="002A737F" w:rsidP="00904C7D">
          <w:pPr>
            <w:tabs>
              <w:tab w:val="center" w:pos="4536"/>
              <w:tab w:val="right" w:pos="9072"/>
            </w:tabs>
            <w:jc w:val="center"/>
            <w:rPr>
              <w:rFonts w:ascii="Times New Roman" w:hAnsi="Times New Roman" w:cs="Times New Roman"/>
              <w:b/>
              <w:sz w:val="16"/>
              <w:szCs w:val="16"/>
            </w:rPr>
          </w:pPr>
          <w:r w:rsidRPr="002A737F">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B356" w14:textId="77777777" w:rsidR="00C26275" w:rsidRDefault="00C262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064C" w14:textId="77777777" w:rsidR="00844FD1" w:rsidRDefault="00844FD1" w:rsidP="007746F3">
      <w:r>
        <w:separator/>
      </w:r>
    </w:p>
  </w:footnote>
  <w:footnote w:type="continuationSeparator" w:id="0">
    <w:p w14:paraId="69D4D6B8" w14:textId="77777777" w:rsidR="00844FD1" w:rsidRDefault="00844FD1"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5F7B" w14:textId="77777777" w:rsidR="00C26275" w:rsidRDefault="00C2627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1773B83B" w:rsidR="007746F3" w:rsidRDefault="007746F3">
    <w:pPr>
      <w:pStyle w:val="stBilgi"/>
    </w:pPr>
  </w:p>
  <w:tbl>
    <w:tblPr>
      <w:tblStyle w:val="TabloKlavuzu"/>
      <w:tblW w:w="9923" w:type="dxa"/>
      <w:tblInd w:w="-147" w:type="dxa"/>
      <w:tblLook w:val="04A0" w:firstRow="1" w:lastRow="0" w:firstColumn="1" w:lastColumn="0" w:noHBand="0" w:noVBand="1"/>
    </w:tblPr>
    <w:tblGrid>
      <w:gridCol w:w="1843"/>
      <w:gridCol w:w="1671"/>
      <w:gridCol w:w="3017"/>
      <w:gridCol w:w="1747"/>
      <w:gridCol w:w="1645"/>
    </w:tblGrid>
    <w:tr w:rsidR="006D72A9" w:rsidRPr="00B36592" w14:paraId="27AC2E93" w14:textId="77777777" w:rsidTr="0049001A">
      <w:trPr>
        <w:trHeight w:val="782"/>
      </w:trPr>
      <w:tc>
        <w:tcPr>
          <w:tcW w:w="1843" w:type="dxa"/>
          <w:vMerge w:val="restart"/>
          <w:vAlign w:val="center"/>
        </w:tcPr>
        <w:p w14:paraId="2771A10F" w14:textId="77777777" w:rsidR="006D72A9" w:rsidRPr="00B36592" w:rsidRDefault="006D72A9" w:rsidP="007746F3">
          <w:pPr>
            <w:jc w:val="center"/>
            <w:rPr>
              <w:sz w:val="20"/>
            </w:rPr>
          </w:pPr>
          <w:bookmarkStart w:id="1" w:name="_Hlk150157118"/>
          <w:r w:rsidRPr="00B36592">
            <w:rPr>
              <w:noProof/>
              <w:sz w:val="20"/>
              <w:lang w:eastAsia="tr-TR"/>
            </w:rPr>
            <w:drawing>
              <wp:anchor distT="0" distB="0" distL="114300" distR="114300" simplePos="0" relativeHeight="251662848" behindDoc="0" locked="0" layoutInCell="1" allowOverlap="1" wp14:anchorId="1FF94B92" wp14:editId="35B749CF">
                <wp:simplePos x="0" y="0"/>
                <wp:positionH relativeFrom="column">
                  <wp:posOffset>20955</wp:posOffset>
                </wp:positionH>
                <wp:positionV relativeFrom="paragraph">
                  <wp:posOffset>56515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4D3C91A4" w14:textId="4F38BFEB" w:rsidR="006D72A9" w:rsidRPr="00AC420E" w:rsidRDefault="006D72A9" w:rsidP="005B2C99">
          <w:pPr>
            <w:jc w:val="center"/>
            <w:rPr>
              <w:rFonts w:ascii="Times New Roman" w:hAnsi="Times New Roman" w:cs="Times New Roman"/>
              <w:sz w:val="20"/>
            </w:rPr>
          </w:pPr>
          <w:r w:rsidRPr="00AA4C50">
            <w:rPr>
              <w:rFonts w:ascii="Times New Roman" w:hAnsi="Times New Roman" w:cs="Times New Roman"/>
            </w:rPr>
            <w:t xml:space="preserve">SONUÇLARIN RAPOR HALİNE GETİRİLMESİ </w:t>
          </w:r>
          <w:r w:rsidR="00562A7D" w:rsidRPr="00562A7D">
            <w:rPr>
              <w:rFonts w:ascii="Times New Roman" w:hAnsi="Times New Roman" w:cs="Times New Roman"/>
              <w:lang w:val="en-US"/>
            </w:rPr>
            <w:t>TALİMATI</w:t>
          </w:r>
        </w:p>
      </w:tc>
    </w:tr>
    <w:tr w:rsidR="007746F3" w:rsidRPr="00B36592" w14:paraId="6F2E117F" w14:textId="77777777" w:rsidTr="0049001A">
      <w:trPr>
        <w:trHeight w:hRule="exact" w:val="311"/>
      </w:trPr>
      <w:tc>
        <w:tcPr>
          <w:tcW w:w="1843" w:type="dxa"/>
          <w:vMerge/>
          <w:vAlign w:val="center"/>
        </w:tcPr>
        <w:p w14:paraId="138389C2" w14:textId="77777777" w:rsidR="007746F3" w:rsidRPr="00B36592" w:rsidRDefault="007746F3" w:rsidP="007746F3">
          <w:pPr>
            <w:rPr>
              <w:sz w:val="20"/>
            </w:rPr>
          </w:pPr>
        </w:p>
      </w:tc>
      <w:tc>
        <w:tcPr>
          <w:tcW w:w="167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17" w:type="dxa"/>
          <w:vAlign w:val="center"/>
        </w:tcPr>
        <w:p w14:paraId="528E9E3C" w14:textId="5573960D" w:rsidR="007746F3" w:rsidRPr="00837053" w:rsidRDefault="008B348F" w:rsidP="007746F3">
          <w:pPr>
            <w:rPr>
              <w:rFonts w:ascii="Times New Roman" w:hAnsi="Times New Roman" w:cs="Times New Roman"/>
            </w:rPr>
          </w:pPr>
          <w:r>
            <w:rPr>
              <w:rFonts w:ascii="Times New Roman" w:hAnsi="Times New Roman" w:cs="Times New Roman"/>
            </w:rPr>
            <w:t>TLM-</w:t>
          </w:r>
          <w:r w:rsidR="00904C7D">
            <w:rPr>
              <w:rFonts w:ascii="Times New Roman" w:hAnsi="Times New Roman" w:cs="Times New Roman"/>
            </w:rPr>
            <w:t>70</w:t>
          </w:r>
        </w:p>
      </w:tc>
      <w:tc>
        <w:tcPr>
          <w:tcW w:w="1747"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645"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0A1E3A" w:rsidRPr="00B36592" w14:paraId="5DED7287" w14:textId="77777777" w:rsidTr="0049001A">
      <w:trPr>
        <w:trHeight w:hRule="exact" w:val="298"/>
      </w:trPr>
      <w:tc>
        <w:tcPr>
          <w:tcW w:w="1843" w:type="dxa"/>
          <w:vMerge/>
          <w:vAlign w:val="center"/>
        </w:tcPr>
        <w:p w14:paraId="55622155" w14:textId="77777777" w:rsidR="000A1E3A" w:rsidRPr="00B36592" w:rsidRDefault="000A1E3A" w:rsidP="000A1E3A">
          <w:pPr>
            <w:rPr>
              <w:sz w:val="20"/>
            </w:rPr>
          </w:pPr>
        </w:p>
      </w:tc>
      <w:tc>
        <w:tcPr>
          <w:tcW w:w="1671" w:type="dxa"/>
          <w:vAlign w:val="center"/>
        </w:tcPr>
        <w:p w14:paraId="30A59ECF" w14:textId="77777777" w:rsidR="000A1E3A" w:rsidRPr="00837053" w:rsidRDefault="000A1E3A" w:rsidP="000A1E3A">
          <w:pPr>
            <w:rPr>
              <w:rFonts w:ascii="Times New Roman" w:hAnsi="Times New Roman" w:cs="Times New Roman"/>
            </w:rPr>
          </w:pPr>
          <w:r w:rsidRPr="00837053">
            <w:rPr>
              <w:rFonts w:ascii="Times New Roman" w:hAnsi="Times New Roman" w:cs="Times New Roman"/>
            </w:rPr>
            <w:t>İlk Yayın Tarihi</w:t>
          </w:r>
        </w:p>
      </w:tc>
      <w:tc>
        <w:tcPr>
          <w:tcW w:w="3017" w:type="dxa"/>
          <w:vAlign w:val="center"/>
        </w:tcPr>
        <w:p w14:paraId="5CCA3860" w14:textId="1AF5023B" w:rsidR="000A1E3A" w:rsidRPr="00837053" w:rsidRDefault="000A1E3A" w:rsidP="000A1E3A">
          <w:pPr>
            <w:rPr>
              <w:rFonts w:ascii="Times New Roman" w:hAnsi="Times New Roman" w:cs="Times New Roman"/>
            </w:rPr>
          </w:pPr>
          <w:r w:rsidRPr="00857CA1">
            <w:rPr>
              <w:rFonts w:ascii="Times New Roman" w:hAnsi="Times New Roman" w:cs="Times New Roman"/>
            </w:rPr>
            <w:t>24.01.2025</w:t>
          </w:r>
        </w:p>
      </w:tc>
      <w:tc>
        <w:tcPr>
          <w:tcW w:w="1747" w:type="dxa"/>
          <w:vAlign w:val="center"/>
        </w:tcPr>
        <w:p w14:paraId="54E19829" w14:textId="77777777" w:rsidR="000A1E3A" w:rsidRPr="00837053" w:rsidRDefault="000A1E3A" w:rsidP="000A1E3A">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645" w:type="dxa"/>
          <w:vAlign w:val="center"/>
        </w:tcPr>
        <w:p w14:paraId="6D973C33" w14:textId="77777777" w:rsidR="000A1E3A" w:rsidRPr="00837053" w:rsidRDefault="000A1E3A" w:rsidP="000A1E3A">
          <w:pPr>
            <w:rPr>
              <w:rFonts w:ascii="Times New Roman" w:hAnsi="Times New Roman" w:cs="Times New Roman"/>
            </w:rPr>
          </w:pPr>
          <w:r w:rsidRPr="00837053">
            <w:rPr>
              <w:rFonts w:ascii="Times New Roman" w:hAnsi="Times New Roman" w:cs="Times New Roman"/>
            </w:rPr>
            <w:t>-</w:t>
          </w:r>
        </w:p>
      </w:tc>
    </w:tr>
    <w:tr w:rsidR="000A1E3A" w:rsidRPr="00B36592" w14:paraId="77D776E6" w14:textId="77777777" w:rsidTr="0049001A">
      <w:trPr>
        <w:trHeight w:hRule="exact" w:val="298"/>
      </w:trPr>
      <w:tc>
        <w:tcPr>
          <w:tcW w:w="1843" w:type="dxa"/>
          <w:vMerge/>
          <w:vAlign w:val="center"/>
        </w:tcPr>
        <w:p w14:paraId="794F8493" w14:textId="77777777" w:rsidR="000A1E3A" w:rsidRPr="00B36592" w:rsidRDefault="000A1E3A" w:rsidP="000A1E3A">
          <w:pPr>
            <w:rPr>
              <w:sz w:val="20"/>
            </w:rPr>
          </w:pPr>
        </w:p>
      </w:tc>
      <w:tc>
        <w:tcPr>
          <w:tcW w:w="4688" w:type="dxa"/>
          <w:gridSpan w:val="2"/>
          <w:vAlign w:val="center"/>
        </w:tcPr>
        <w:p w14:paraId="7A9DEBF1" w14:textId="77777777" w:rsidR="000A1E3A" w:rsidRPr="00837053" w:rsidRDefault="000A1E3A" w:rsidP="000A1E3A">
          <w:pPr>
            <w:keepNext/>
            <w:ind w:left="-142" w:right="-219"/>
            <w:outlineLvl w:val="0"/>
            <w:rPr>
              <w:rFonts w:ascii="Times New Roman" w:hAnsi="Times New Roman" w:cs="Times New Roman"/>
            </w:rPr>
          </w:pPr>
        </w:p>
      </w:tc>
      <w:tc>
        <w:tcPr>
          <w:tcW w:w="1747" w:type="dxa"/>
          <w:vAlign w:val="center"/>
        </w:tcPr>
        <w:p w14:paraId="1771762A" w14:textId="77777777" w:rsidR="000A1E3A" w:rsidRPr="00837053" w:rsidRDefault="000A1E3A" w:rsidP="000A1E3A">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645" w:type="dxa"/>
          <w:vAlign w:val="center"/>
        </w:tcPr>
        <w:sdt>
          <w:sdtPr>
            <w:id w:val="527216409"/>
            <w:docPartObj>
              <w:docPartGallery w:val="Page Numbers (Bottom of Page)"/>
              <w:docPartUnique/>
            </w:docPartObj>
          </w:sdtPr>
          <w:sdtContent>
            <w:p w14:paraId="12B7091F" w14:textId="2C3C117E" w:rsidR="000A1E3A" w:rsidRDefault="000A1E3A" w:rsidP="000A1E3A">
              <w:pPr>
                <w:pStyle w:val="AltBilgi"/>
              </w:pPr>
              <w:r>
                <w:t>3</w:t>
              </w:r>
            </w:p>
          </w:sdtContent>
        </w:sdt>
        <w:p w14:paraId="76CED53D" w14:textId="21775F6D" w:rsidR="000A1E3A" w:rsidRPr="00837053" w:rsidRDefault="000A1E3A" w:rsidP="000A1E3A">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BBF1" w14:textId="77777777" w:rsidR="00C26275" w:rsidRDefault="00C2627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0004B"/>
    <w:multiLevelType w:val="hybridMultilevel"/>
    <w:tmpl w:val="C13E15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D377C03"/>
    <w:multiLevelType w:val="hybridMultilevel"/>
    <w:tmpl w:val="A6823A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571043A4"/>
    <w:multiLevelType w:val="hybridMultilevel"/>
    <w:tmpl w:val="740A3F08"/>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 w15:restartNumberingAfterBreak="0">
    <w:nsid w:val="68316E28"/>
    <w:multiLevelType w:val="hybridMultilevel"/>
    <w:tmpl w:val="7C08C5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C10445C"/>
    <w:multiLevelType w:val="hybridMultilevel"/>
    <w:tmpl w:val="6E86AB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083449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6646295">
    <w:abstractNumId w:val="4"/>
  </w:num>
  <w:num w:numId="3" w16cid:durableId="1794473858">
    <w:abstractNumId w:val="5"/>
  </w:num>
  <w:num w:numId="4" w16cid:durableId="757167070">
    <w:abstractNumId w:val="1"/>
  </w:num>
  <w:num w:numId="5" w16cid:durableId="1589921067">
    <w:abstractNumId w:val="3"/>
  </w:num>
  <w:num w:numId="6" w16cid:durableId="52189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A1E3A"/>
    <w:rsid w:val="001C0EF4"/>
    <w:rsid w:val="00216B3D"/>
    <w:rsid w:val="00251D9F"/>
    <w:rsid w:val="002A737F"/>
    <w:rsid w:val="002E1F12"/>
    <w:rsid w:val="00316953"/>
    <w:rsid w:val="003C2072"/>
    <w:rsid w:val="0043716C"/>
    <w:rsid w:val="00453B44"/>
    <w:rsid w:val="0049001A"/>
    <w:rsid w:val="004F2D0F"/>
    <w:rsid w:val="00562A7D"/>
    <w:rsid w:val="0057413A"/>
    <w:rsid w:val="005B2C99"/>
    <w:rsid w:val="005D3B33"/>
    <w:rsid w:val="005F3EF5"/>
    <w:rsid w:val="006756EB"/>
    <w:rsid w:val="006931FF"/>
    <w:rsid w:val="006D72A9"/>
    <w:rsid w:val="007746F3"/>
    <w:rsid w:val="00844FD1"/>
    <w:rsid w:val="008B348F"/>
    <w:rsid w:val="00904C7D"/>
    <w:rsid w:val="009F2485"/>
    <w:rsid w:val="00A5630D"/>
    <w:rsid w:val="00AA4C50"/>
    <w:rsid w:val="00AC420E"/>
    <w:rsid w:val="00AD2629"/>
    <w:rsid w:val="00B00785"/>
    <w:rsid w:val="00B27D70"/>
    <w:rsid w:val="00B33F63"/>
    <w:rsid w:val="00B43330"/>
    <w:rsid w:val="00C26275"/>
    <w:rsid w:val="00E00FDD"/>
    <w:rsid w:val="00E855F9"/>
    <w:rsid w:val="00EB2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0C0A84AE-B0B8-480B-8110-5226CCFC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48955">
      <w:bodyDiv w:val="1"/>
      <w:marLeft w:val="0"/>
      <w:marRight w:val="0"/>
      <w:marTop w:val="0"/>
      <w:marBottom w:val="0"/>
      <w:divBdr>
        <w:top w:val="none" w:sz="0" w:space="0" w:color="auto"/>
        <w:left w:val="none" w:sz="0" w:space="0" w:color="auto"/>
        <w:bottom w:val="none" w:sz="0" w:space="0" w:color="auto"/>
        <w:right w:val="none" w:sz="0" w:space="0" w:color="auto"/>
      </w:divBdr>
    </w:div>
    <w:div w:id="116686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10</cp:revision>
  <dcterms:created xsi:type="dcterms:W3CDTF">2024-01-02T11:59:00Z</dcterms:created>
  <dcterms:modified xsi:type="dcterms:W3CDTF">2025-02-13T11:19:00Z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