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B353" w14:textId="26376A87" w:rsidR="00EA2676" w:rsidRPr="00EA2676" w:rsidRDefault="00EA2676" w:rsidP="0006522A">
      <w:pPr>
        <w:pStyle w:val="KonuBal"/>
        <w:ind w:left="0"/>
      </w:pPr>
    </w:p>
    <w:p w14:paraId="1C082007" w14:textId="77777777" w:rsidR="00A24A5E" w:rsidRPr="00EA2676" w:rsidRDefault="00A24A5E" w:rsidP="00A24A5E">
      <w:pPr>
        <w:widowControl/>
        <w:numPr>
          <w:ilvl w:val="0"/>
          <w:numId w:val="1"/>
        </w:numPr>
        <w:autoSpaceDE/>
        <w:autoSpaceDN/>
        <w:spacing w:after="160" w:line="259" w:lineRule="auto"/>
        <w:contextualSpacing/>
        <w:rPr>
          <w:rFonts w:ascii="Times New Roman" w:eastAsia="Calibri" w:hAnsi="Times New Roman" w:cs="Times New Roman"/>
          <w:b/>
          <w:bCs/>
          <w:lang w:val="tr-TR"/>
        </w:rPr>
      </w:pPr>
      <w:r w:rsidRPr="00EA2676">
        <w:rPr>
          <w:rFonts w:ascii="Times New Roman" w:eastAsia="Calibri" w:hAnsi="Times New Roman" w:cs="Times New Roman"/>
          <w:b/>
          <w:bCs/>
          <w:lang w:val="tr-TR"/>
        </w:rPr>
        <w:t>AMAÇ</w:t>
      </w:r>
    </w:p>
    <w:p w14:paraId="7EC1778B"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İskenderun Teknik Üniversitesi, Bilim ve Teknoloji Uygulama ve Araştırma Merkezi (İSTE-BTM) laboratuvarında ölçüm ve analitik testlerde kullanılan cihaz ve teçhizatının satın alınması ve laboratuvara kabulünden başlayarak laboratuvar analiz sonuçlarının doğruluğu ve kalitesinin sağlanması amacıyla kalibrasyon, doğrulama, koruyucu temizlik ve planlı bakımlarının sistematik bir şekilde yapılmasını, cihaz arızası durumlarında arızayı gidermek için hızlı ve güvenli çözümler üreterek hizmet kalitesinin sürekliliğini sağlamaktır.</w:t>
      </w:r>
    </w:p>
    <w:p w14:paraId="5F1408E1" w14:textId="77777777" w:rsidR="00A24A5E" w:rsidRPr="00EA2676" w:rsidRDefault="00A24A5E" w:rsidP="00A24A5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KAPSAM</w:t>
      </w:r>
    </w:p>
    <w:p w14:paraId="1EA58378" w14:textId="77777777" w:rsidR="00A24A5E" w:rsidRPr="00EA2676" w:rsidRDefault="00A24A5E" w:rsidP="00A24A5E">
      <w:pPr>
        <w:widowControl/>
        <w:autoSpaceDE/>
        <w:autoSpaceDN/>
        <w:spacing w:after="160" w:line="360" w:lineRule="auto"/>
        <w:ind w:firstLine="567"/>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İSTE-BTM laboratuvarında kullanılan tüm analiz cihazlarını ve yardımcı/destek cihazları kapsar.</w:t>
      </w:r>
    </w:p>
    <w:p w14:paraId="4EB1635E" w14:textId="77777777" w:rsidR="00A24A5E" w:rsidRPr="00EA2676" w:rsidRDefault="00A24A5E" w:rsidP="00A24A5E">
      <w:pPr>
        <w:widowControl/>
        <w:autoSpaceDE/>
        <w:autoSpaceDN/>
        <w:spacing w:after="160" w:line="360" w:lineRule="auto"/>
        <w:ind w:left="720"/>
        <w:contextualSpacing/>
        <w:jc w:val="both"/>
        <w:rPr>
          <w:rFonts w:ascii="Times New Roman" w:eastAsia="Calibri" w:hAnsi="Times New Roman" w:cs="Times New Roman"/>
          <w:lang w:val="tr-TR"/>
        </w:rPr>
      </w:pPr>
    </w:p>
    <w:p w14:paraId="063DDFA6" w14:textId="77777777" w:rsidR="00A24A5E" w:rsidRPr="00EA2676" w:rsidRDefault="00A24A5E" w:rsidP="00A24A5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SORUMLULAR</w:t>
      </w:r>
    </w:p>
    <w:p w14:paraId="0EB99642" w14:textId="77777777" w:rsidR="00A24A5E" w:rsidRPr="00EA2676" w:rsidRDefault="00A24A5E" w:rsidP="00A24A5E">
      <w:pPr>
        <w:widowControl/>
        <w:autoSpaceDE/>
        <w:autoSpaceDN/>
        <w:spacing w:after="160" w:line="360" w:lineRule="auto"/>
        <w:ind w:left="720"/>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İSTE-BTM Laboratuvar Müdürü ve Analiz Sorumluları</w:t>
      </w:r>
    </w:p>
    <w:p w14:paraId="00C6293D" w14:textId="77777777" w:rsidR="00A24A5E" w:rsidRPr="00EA2676" w:rsidRDefault="00A24A5E" w:rsidP="00A24A5E">
      <w:pPr>
        <w:widowControl/>
        <w:autoSpaceDE/>
        <w:autoSpaceDN/>
        <w:spacing w:after="160" w:line="360" w:lineRule="auto"/>
        <w:ind w:left="720"/>
        <w:contextualSpacing/>
        <w:jc w:val="both"/>
        <w:rPr>
          <w:rFonts w:ascii="Times New Roman" w:eastAsia="Calibri" w:hAnsi="Times New Roman" w:cs="Times New Roman"/>
          <w:lang w:val="tr-TR"/>
        </w:rPr>
      </w:pPr>
    </w:p>
    <w:p w14:paraId="4D28B2AC" w14:textId="77777777" w:rsidR="00A24A5E" w:rsidRPr="00EA2676" w:rsidRDefault="00A24A5E" w:rsidP="00A24A5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 xml:space="preserve">İLGİLİ BÖLÜMLER </w:t>
      </w:r>
    </w:p>
    <w:p w14:paraId="2D5B3C17" w14:textId="77777777" w:rsidR="00A24A5E" w:rsidRPr="00EA2676" w:rsidRDefault="00A24A5E" w:rsidP="00A24A5E">
      <w:pPr>
        <w:widowControl/>
        <w:autoSpaceDE/>
        <w:autoSpaceDN/>
        <w:spacing w:after="160" w:line="360" w:lineRule="auto"/>
        <w:ind w:left="720"/>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Tüm İSTE-BTM laboratuvarları</w:t>
      </w:r>
    </w:p>
    <w:p w14:paraId="201D07DD" w14:textId="77777777" w:rsidR="00A24A5E" w:rsidRPr="00EA2676" w:rsidRDefault="00A24A5E" w:rsidP="00A24A5E">
      <w:pPr>
        <w:widowControl/>
        <w:autoSpaceDE/>
        <w:autoSpaceDN/>
        <w:spacing w:after="160" w:line="360" w:lineRule="auto"/>
        <w:ind w:left="720"/>
        <w:contextualSpacing/>
        <w:jc w:val="both"/>
        <w:rPr>
          <w:rFonts w:ascii="Times New Roman" w:eastAsia="Calibri" w:hAnsi="Times New Roman" w:cs="Times New Roman"/>
          <w:lang w:val="tr-TR"/>
        </w:rPr>
      </w:pPr>
    </w:p>
    <w:p w14:paraId="14C36408" w14:textId="77777777" w:rsidR="00A24A5E" w:rsidRPr="00EA2676" w:rsidRDefault="00A24A5E" w:rsidP="00A24A5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UYGULAMA</w:t>
      </w:r>
    </w:p>
    <w:p w14:paraId="26E149F8" w14:textId="77777777" w:rsidR="00A24A5E" w:rsidRPr="00EA2676" w:rsidRDefault="00A24A5E" w:rsidP="00A24A5E">
      <w:pPr>
        <w:widowControl/>
        <w:numPr>
          <w:ilvl w:val="1"/>
          <w:numId w:val="1"/>
        </w:numPr>
        <w:autoSpaceDE/>
        <w:autoSpaceDN/>
        <w:spacing w:after="160" w:line="360" w:lineRule="auto"/>
        <w:ind w:left="709"/>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 xml:space="preserve"> Satın Alma ve Kabul </w:t>
      </w:r>
    </w:p>
    <w:p w14:paraId="2BDF7860" w14:textId="77777777" w:rsidR="00A24A5E" w:rsidRPr="00EA2676" w:rsidRDefault="00A24A5E" w:rsidP="00A24A5E">
      <w:pPr>
        <w:widowControl/>
        <w:autoSpaceDE/>
        <w:autoSpaceDN/>
        <w:spacing w:after="160" w:line="360" w:lineRule="auto"/>
        <w:ind w:firstLine="567"/>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Alımına karar verilen cihaz ve/veya diğer laboratuvar malzemeleri için gerekli teknik şartların belirlenmesi için ihtiyaç duyulan cihazı/malzemeyi üreten firmaların katalogları temin edilir. Kataloglar incelenerek istenilen özelliklere sahip olan malzeme/cihaza ait teknik özellikler ve istenen teslimat süresi belirlenir. </w:t>
      </w:r>
    </w:p>
    <w:p w14:paraId="3719C714" w14:textId="77777777" w:rsidR="00A24A5E" w:rsidRPr="00EA2676" w:rsidRDefault="00A24A5E" w:rsidP="00A24A5E">
      <w:pPr>
        <w:widowControl/>
        <w:autoSpaceDE/>
        <w:autoSpaceDN/>
        <w:spacing w:after="160" w:line="360" w:lineRule="auto"/>
        <w:ind w:left="1080" w:firstLine="336"/>
        <w:contextualSpacing/>
        <w:jc w:val="both"/>
        <w:rPr>
          <w:rFonts w:ascii="Times New Roman" w:eastAsia="Calibri" w:hAnsi="Times New Roman" w:cs="Times New Roman"/>
          <w:lang w:val="tr-TR"/>
        </w:rPr>
      </w:pPr>
    </w:p>
    <w:p w14:paraId="72F719B0" w14:textId="77777777" w:rsidR="00A24A5E" w:rsidRPr="00EA2676" w:rsidRDefault="00A24A5E" w:rsidP="00A24A5E">
      <w:pPr>
        <w:widowControl/>
        <w:numPr>
          <w:ilvl w:val="2"/>
          <w:numId w:val="1"/>
        </w:numPr>
        <w:autoSpaceDE/>
        <w:autoSpaceDN/>
        <w:spacing w:after="160" w:line="360" w:lineRule="auto"/>
        <w:ind w:left="993"/>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Cihaz Satın Alma/Kabul</w:t>
      </w:r>
    </w:p>
    <w:p w14:paraId="0CA16376" w14:textId="77777777" w:rsidR="00A24A5E" w:rsidRPr="00EA2676" w:rsidRDefault="00A24A5E" w:rsidP="00A24A5E">
      <w:pPr>
        <w:widowControl/>
        <w:autoSpaceDE/>
        <w:autoSpaceDN/>
        <w:spacing w:after="160" w:line="360" w:lineRule="auto"/>
        <w:contextualSpacing/>
        <w:jc w:val="both"/>
        <w:rPr>
          <w:rFonts w:ascii="Times New Roman" w:eastAsia="Calibri" w:hAnsi="Times New Roman" w:cs="Times New Roman"/>
          <w:b/>
          <w:bCs/>
          <w:lang w:val="tr-TR"/>
        </w:rPr>
      </w:pPr>
      <w:r w:rsidRPr="00EA2676">
        <w:rPr>
          <w:rFonts w:ascii="Times New Roman" w:eastAsia="Calibri" w:hAnsi="Times New Roman" w:cs="Times New Roman"/>
          <w:lang w:val="tr-TR"/>
        </w:rPr>
        <w:t>Cihaz satın alımı için gerekli olan teknik özelliklerin yanı sıra aşağıda belirtilen kriterler de satıcı firmalardan talep edilir.</w:t>
      </w:r>
    </w:p>
    <w:p w14:paraId="26715659" w14:textId="77777777" w:rsidR="00A24A5E" w:rsidRPr="00EA2676" w:rsidRDefault="00A24A5E" w:rsidP="00A24A5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En az 2 yıl süreyle ücretsiz bakım ve yedek parça garantisi, bakım ve onarım ile ilgili satıcı firmayı bağlayıcı maddeler</w:t>
      </w:r>
    </w:p>
    <w:p w14:paraId="650A5BD0" w14:textId="77777777" w:rsidR="00A24A5E" w:rsidRPr="00EA2676" w:rsidRDefault="00A24A5E" w:rsidP="00A24A5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Cihazda kullanılacak reaktifler ve kitlerin ilgili firma tarafından sağlanabilmesi </w:t>
      </w:r>
    </w:p>
    <w:p w14:paraId="59711F57" w14:textId="77777777" w:rsidR="00A24A5E" w:rsidRPr="00EA2676" w:rsidRDefault="00A24A5E" w:rsidP="00A24A5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Türkçe Kullanım, Bakım ve Kalibrasyon Talimatlarının sağlanması ve çalışma esnasında güvenlik açısından dikkat edilecek noktaların belirtilmesi </w:t>
      </w:r>
    </w:p>
    <w:p w14:paraId="63CC3235" w14:textId="77777777" w:rsidR="00A24A5E" w:rsidRPr="00EA2676" w:rsidRDefault="00A24A5E" w:rsidP="00A24A5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lastRenderedPageBreak/>
        <w:t xml:space="preserve">Döviz bazı üzerinden fiyatlandırılmış yedek parça listesi ve bunun istenildiğinde temin etme taahhüdü </w:t>
      </w:r>
    </w:p>
    <w:p w14:paraId="2BAF00C9" w14:textId="77777777" w:rsidR="00A24A5E" w:rsidRPr="00EA2676" w:rsidRDefault="00A24A5E" w:rsidP="00A24A5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 kabulü öncesi satıcı firma tarafından verilecek cihazla ilgili ücretsiz eğitim </w:t>
      </w:r>
    </w:p>
    <w:p w14:paraId="73BDD737" w14:textId="77777777" w:rsidR="00A24A5E" w:rsidRPr="00EA2676" w:rsidRDefault="00A24A5E" w:rsidP="00A24A5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 kabulü öncesi cihazın montajının ve cihaz validasyonunun satıcı firma tarafından yapılması </w:t>
      </w:r>
    </w:p>
    <w:p w14:paraId="54F63BA9"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b/>
          <w:bCs/>
          <w:lang w:val="tr-TR"/>
        </w:rPr>
      </w:pPr>
      <w:r w:rsidRPr="00EA2676">
        <w:rPr>
          <w:rFonts w:ascii="Times New Roman" w:eastAsia="Calibri" w:hAnsi="Times New Roman" w:cs="Times New Roman"/>
          <w:lang w:val="tr-TR"/>
        </w:rPr>
        <w:t>Onaylı Tedarikçi Listesindeki ilgili satıcı firmalarla bağlantı kurularak, belirtilen özelliklerde cihaza sahip olup olmadıkları sorulur. Onaylı Tedarikçi Listesindeki firmalardan talep karşılanamıyor ise liste dışından bir tedarikçi için araştırma yapılır. Varsa yeni firma var olan listeye işlenir. Satın alma işlemleri Satın Alma (Hizmet ve Donanım) Prosedüründeki gibi yapılır. Teslimatı hemen yapılmayacak cihazlar için sözleşme yapılır</w:t>
      </w:r>
      <w:r w:rsidRPr="00EA2676">
        <w:rPr>
          <w:rFonts w:ascii="Times New Roman" w:eastAsia="Calibri" w:hAnsi="Times New Roman" w:cs="Times New Roman"/>
          <w:b/>
          <w:bCs/>
          <w:lang w:val="tr-TR"/>
        </w:rPr>
        <w:t>.</w:t>
      </w:r>
    </w:p>
    <w:p w14:paraId="055BA4C7" w14:textId="77777777" w:rsidR="00A24A5E" w:rsidRPr="00EA2676" w:rsidRDefault="00A24A5E" w:rsidP="00A24A5E">
      <w:pPr>
        <w:widowControl/>
        <w:numPr>
          <w:ilvl w:val="2"/>
          <w:numId w:val="1"/>
        </w:numPr>
        <w:autoSpaceDE/>
        <w:autoSpaceDN/>
        <w:spacing w:after="160" w:line="360" w:lineRule="auto"/>
        <w:ind w:left="709"/>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Cihazın Teslim Alınması ve Kabulü</w:t>
      </w:r>
    </w:p>
    <w:p w14:paraId="27CD2CBA"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 ve ekipmanı gelmeden önce satıcı firmayla temasa geçilerek teslim tarihi öğrenilir ve cihaz gelmeden önce cihaz için firmanın öngördüğü ortam hazırlanır, cihazın yeri saptanır ve gerekli olan destek sistemleri hazırlanır. Cihaz teslim edildiğinde öncelikle dış ambalajında bir deformasyon olup olmadığı kontrol edilir. Ambalajında cihazı etkileyebileceği düşünülen herhangi bir darbe varsa ambalaj kesinlikle açılmaz. Bu durumlarda üretici/satıcı firma bilgilendirilir ve firmanın önerisi doğrultusunda hareket edilir. Mümkün olan durumlarda cihazın ambalajı firma yetkilileri ile birlikte açılır. Eğer firmayla bağlantı kurulamıyorsa ve cihazın acilen açılması gerekiyorsa veya firma cihazın açılmasını istese bile sonradan gerek firmayla gerekse sigorta şirketi ile anlaşmazlığa düşmemek için darbenin ambalaj üzerinde açıkça görülebileceği durumlarda ambalajı açılmaz, tutanak tutulur veya Satın Alınan Cihaz/Ekipman Değerlendirme ve Onay Formunda uygunsuzlukla ilgili bölümlerde açıklamalar yapılır ve bu kayıtlar cihaz için açılacak ilgili Cihaz Dosyasında saklanır. Cihaz ambalajından tarif edildiği şekilde dikkatle çıkarılır, yanında gelen tüm evraklar, aksesuarlar ve yedek parçalar tek tek kontrol edilir, eksik veya hatalı teslim durumları firmaya iletilmek üzere not edilir.</w:t>
      </w:r>
    </w:p>
    <w:p w14:paraId="0539AB86" w14:textId="77777777" w:rsidR="00A24A5E" w:rsidRPr="00EA2676" w:rsidRDefault="00A24A5E" w:rsidP="00A24A5E">
      <w:pPr>
        <w:widowControl/>
        <w:numPr>
          <w:ilvl w:val="1"/>
          <w:numId w:val="1"/>
        </w:numPr>
        <w:autoSpaceDE/>
        <w:autoSpaceDN/>
        <w:spacing w:after="160" w:line="360" w:lineRule="auto"/>
        <w:ind w:left="426"/>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 xml:space="preserve"> Cihazların Kullanımı</w:t>
      </w:r>
    </w:p>
    <w:p w14:paraId="1075DFE4" w14:textId="77777777" w:rsidR="00A24A5E" w:rsidRPr="00EA2676" w:rsidRDefault="00A24A5E" w:rsidP="00A24A5E">
      <w:pPr>
        <w:widowControl/>
        <w:numPr>
          <w:ilvl w:val="2"/>
          <w:numId w:val="1"/>
        </w:numPr>
        <w:autoSpaceDE/>
        <w:autoSpaceDN/>
        <w:spacing w:after="160" w:line="360" w:lineRule="auto"/>
        <w:ind w:left="851"/>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Ön Hazırlıklar</w:t>
      </w:r>
    </w:p>
    <w:p w14:paraId="151AE7C0"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Cihazla gelen önemli evraklar, cihaz için açılan ve cihazın izlemelerini içeren kayıtların da bulunduğu cihaz dosyasında toplanır. Her cihaza ait kendi cihaz dosyasında:</w:t>
      </w:r>
    </w:p>
    <w:p w14:paraId="443973E3"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Kullanım, Bakım ve Kalibrasyon Talimatı</w:t>
      </w:r>
    </w:p>
    <w:p w14:paraId="6B1F9BB6"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Analiz yöntemleri </w:t>
      </w:r>
    </w:p>
    <w:p w14:paraId="36A58390"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Bakım Kayıt Formları</w:t>
      </w:r>
    </w:p>
    <w:p w14:paraId="06B4FB44"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Arıza Takip Formları</w:t>
      </w:r>
    </w:p>
    <w:p w14:paraId="68180BE9"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Satın Alınan Cihaz/Ekipman Değerlendirme ve Onay Formu</w:t>
      </w:r>
    </w:p>
    <w:p w14:paraId="7D8DC9ED"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Cihaza ait Yedek Parça/Sarf Malzemelerinin Listesi</w:t>
      </w:r>
    </w:p>
    <w:p w14:paraId="43887299"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Kitapçıkların / Şemaların Listesi (varsa)</w:t>
      </w:r>
    </w:p>
    <w:p w14:paraId="64A127D4"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Kalibrasyon/Doğrulama Kayıt Formları</w:t>
      </w:r>
    </w:p>
    <w:p w14:paraId="1581DE76" w14:textId="77777777" w:rsidR="00A24A5E" w:rsidRPr="00EA2676" w:rsidRDefault="00A24A5E" w:rsidP="00A24A5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 Teknik Servis Kayıtları </w:t>
      </w:r>
    </w:p>
    <w:p w14:paraId="324024AB" w14:textId="77777777" w:rsidR="00A24A5E" w:rsidRPr="00EA2676" w:rsidRDefault="00A24A5E" w:rsidP="00A24A5E">
      <w:pPr>
        <w:widowControl/>
        <w:autoSpaceDE/>
        <w:autoSpaceDN/>
        <w:spacing w:after="160" w:line="360" w:lineRule="auto"/>
        <w:ind w:left="-284" w:firstLine="708"/>
        <w:jc w:val="both"/>
        <w:rPr>
          <w:rFonts w:ascii="Times New Roman" w:eastAsia="Calibri" w:hAnsi="Times New Roman" w:cs="Times New Roman"/>
          <w:lang w:val="tr-TR"/>
        </w:rPr>
      </w:pPr>
      <w:r w:rsidRPr="00EA2676">
        <w:rPr>
          <w:rFonts w:ascii="Times New Roman" w:eastAsia="Calibri" w:hAnsi="Times New Roman" w:cs="Times New Roman"/>
          <w:lang w:val="tr-TR"/>
        </w:rPr>
        <w:t>bulunur.</w:t>
      </w:r>
    </w:p>
    <w:p w14:paraId="61CB78C1" w14:textId="77777777" w:rsidR="00A24A5E" w:rsidRPr="00EA2676" w:rsidRDefault="00A24A5E" w:rsidP="00A24A5E">
      <w:pPr>
        <w:widowControl/>
        <w:autoSpaceDE/>
        <w:autoSpaceDN/>
        <w:spacing w:after="160" w:line="360" w:lineRule="auto"/>
        <w:ind w:firstLine="425"/>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Cihazın ilk kalibrasyon ve validasyon işlemleri Satıcı Firma Yetkilisi ve Laboratuvar Analiz Sorumlusu ile birlikte gerçekleştirilir. Yeni cihazlar devreye alınmadan önce cihaz doğrulama ve validasyon çalışmaları uygun sonuçlar alınarak tamamlanmış ve Analiz sorumluları cihazı satan firmanın bu konuda eğitim vermeye yetkili teknik elemanları tarafından eğitilmiş olmalıdır. </w:t>
      </w:r>
    </w:p>
    <w:p w14:paraId="55E46CA3"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Üyeleri Laboratuvar Müdürü tarafından belirlenen Malzeme Muayene ve Kabul Komisyonu tarafından cihaz teslim alınır.  Laboratuvar Müdürü tarafından </w:t>
      </w:r>
      <w:bookmarkStart w:id="0" w:name="_Hlk46481155"/>
      <w:r w:rsidRPr="00EA2676">
        <w:rPr>
          <w:rFonts w:ascii="Times New Roman" w:eastAsia="Calibri" w:hAnsi="Times New Roman" w:cs="Times New Roman"/>
          <w:lang w:val="tr-TR"/>
        </w:rPr>
        <w:t>Satın Alınan Cihaz/Ekipman Değerlendirme ve Onay Formu</w:t>
      </w:r>
      <w:bookmarkEnd w:id="0"/>
      <w:r w:rsidRPr="00EA2676">
        <w:rPr>
          <w:rFonts w:ascii="Times New Roman" w:eastAsia="Calibri" w:hAnsi="Times New Roman" w:cs="Times New Roman"/>
          <w:lang w:val="tr-TR"/>
        </w:rPr>
        <w:t xml:space="preserve"> doldurulur. Eğitim almış personel Laboratuvar Müdürü tarafından Analiz sorumlusu olarak atanır.</w:t>
      </w:r>
    </w:p>
    <w:p w14:paraId="372891F7"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Kullanıma alınan her cihaz cihazın adı, markası, üretici firma vb. bilgileri içerecek şekilde hazırlanan etiketler ile tanımlanır. Bu etiketler cihazın çalışma durumunu da gösterecek şekilde ayrı ayrı üç renkte hazırlanır;</w:t>
      </w:r>
    </w:p>
    <w:p w14:paraId="2A748806"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Yeşil: ÇALIŞIR</w:t>
      </w:r>
    </w:p>
    <w:p w14:paraId="5393191B"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Beyaz: ŞÜPHELİ </w:t>
      </w:r>
    </w:p>
    <w:p w14:paraId="4D371339"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Kırmızı: KULLANIM DIŞI (cihazın çalışmadığını)</w:t>
      </w:r>
    </w:p>
    <w:p w14:paraId="54E9598F" w14:textId="77777777" w:rsidR="00A24A5E" w:rsidRPr="00EA2676" w:rsidRDefault="00A24A5E" w:rsidP="00A24A5E">
      <w:pPr>
        <w:widowControl/>
        <w:numPr>
          <w:ilvl w:val="2"/>
          <w:numId w:val="1"/>
        </w:numPr>
        <w:autoSpaceDE/>
        <w:autoSpaceDN/>
        <w:spacing w:after="160" w:line="360" w:lineRule="auto"/>
        <w:ind w:left="709"/>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 xml:space="preserve">Kalibrasyon ve Doğrulama </w:t>
      </w:r>
    </w:p>
    <w:p w14:paraId="171D935A"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Kalibrasyonu yapılması gereken teçhizat ve bunlarla ilgili aşağıdaki tüm bilgiler ilgili Kritik Cihaz Teçhizat Listesinde belirtilmiştir. </w:t>
      </w:r>
    </w:p>
    <w:p w14:paraId="64AA9359"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Cihazın Adı</w:t>
      </w:r>
    </w:p>
    <w:p w14:paraId="7EE3AB40"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Seri No/Kodu</w:t>
      </w:r>
    </w:p>
    <w:p w14:paraId="7F2DA1FE"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Kimliği (Markası, Üretici Firma)</w:t>
      </w:r>
    </w:p>
    <w:p w14:paraId="14AC9545"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Hassasiyeti</w:t>
      </w:r>
    </w:p>
    <w:p w14:paraId="3BE7459E"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Kullanım aralığı</w:t>
      </w:r>
    </w:p>
    <w:p w14:paraId="3266982A"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Ölçüm belirsizliği</w:t>
      </w:r>
    </w:p>
    <w:p w14:paraId="24E84DF7"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 kabul aralığı</w:t>
      </w:r>
      <w:r w:rsidRPr="00EA2676">
        <w:rPr>
          <w:rFonts w:ascii="Times New Roman" w:eastAsia="Calibri" w:hAnsi="Times New Roman" w:cs="Times New Roman"/>
          <w:lang w:val="tr-TR"/>
        </w:rPr>
        <w:tab/>
      </w:r>
      <w:r w:rsidRPr="00EA2676">
        <w:rPr>
          <w:rFonts w:ascii="Times New Roman" w:eastAsia="Calibri" w:hAnsi="Times New Roman" w:cs="Times New Roman"/>
          <w:lang w:val="tr-TR"/>
        </w:rPr>
        <w:tab/>
      </w:r>
    </w:p>
    <w:p w14:paraId="7F03B3E0"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Kalibrasyon/Doğrulama periyodu</w:t>
      </w:r>
    </w:p>
    <w:p w14:paraId="4C188C97"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Kalibrasyonu yapan firma</w:t>
      </w:r>
    </w:p>
    <w:p w14:paraId="64D64C34"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 tarihi ve bir sonraki kalibrasyon tarihi</w:t>
      </w:r>
    </w:p>
    <w:p w14:paraId="0C364E72" w14:textId="77777777" w:rsidR="00A24A5E" w:rsidRPr="00EA2676" w:rsidRDefault="00A24A5E" w:rsidP="00A24A5E">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Bulunduğu yer</w:t>
      </w:r>
    </w:p>
    <w:p w14:paraId="1A6C1FF1"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Teçhizatın, laboratuvar dışında kalibrasyonu yaptırılacak ise kalibrasyonu yapacak firmanın uluslararası izlenebilirliği ve mümkünse o kapsamda akredite olan kuruluşlar olması istenir.</w:t>
      </w:r>
    </w:p>
    <w:p w14:paraId="411220B1"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Laboratuvar içinde yapılan kalibrasyon faaliyetleri alanında eğitilmiş personel tarafından yapılır.       </w:t>
      </w:r>
    </w:p>
    <w:p w14:paraId="6F7CEC5B"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b/>
          <w:bCs/>
          <w:lang w:val="tr-TR"/>
        </w:rPr>
      </w:pPr>
      <w:r w:rsidRPr="00EA2676">
        <w:rPr>
          <w:rFonts w:ascii="Times New Roman" w:eastAsia="Calibri" w:hAnsi="Times New Roman" w:cs="Times New Roman"/>
          <w:lang w:val="tr-TR"/>
        </w:rPr>
        <w:t xml:space="preserve">Kalibrasyon kuruluşlarında (akredite) kalibrasyonu mümkün olmayan cihaz/teçhizatın (ICP-MS, AAS, FTIR, UV), doğrulaması uluslararası kabul edilebilir yöntemler, mümkün olduğunda sertifikalı referanslar, malzeme/standartlar ile yapılır. </w:t>
      </w:r>
    </w:p>
    <w:p w14:paraId="268458E5"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Laboratuvara yeni bir cihaz/ölçü aleti alınması durumunda cihaz/teçhizatı kullanacak ilgili bölüm sorumlusu ve Laboratuvar Müdür Yardımcısı bu ölçü aletinin kalibrasyon programı içinde mi yoksa dışında mı tutulacağına karar verir. Kalibrasyon programı içine alınan ölçü aleti ilgili teçhizat listesine dahil edilir.</w:t>
      </w:r>
    </w:p>
    <w:p w14:paraId="3E530A28"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Teçhizatın kalibrasyon veya doğrulama periyodu, teçhizatın kullanım amacı ve üretici firmanın tavsiyesi dikkate alınarak saptanır (Katalog/prospektüs veya el kitabında belirtilmiş de olabilir).</w:t>
      </w:r>
    </w:p>
    <w:p w14:paraId="12B9668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Laboratuvarda yapılacak kalibrasyon faaliyetleri, kalibrasyon yapan kuruluşların tavsiyeleri, standartlar, prospektüs ve el kitaplarında belirtilen özellikler doğrultusunda hazırlanan, Kullanım, Bakım ve Kalibrasyon Talimatları dikkate alınarak yapılır.</w:t>
      </w:r>
    </w:p>
    <w:p w14:paraId="6D9EA27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Teçhizatın kalibrasyonunun yapıldığını tanımlamak amacıyla ölçü aleti üzerine Yeşil Renkli “ÇALIŞIR” etiketi yapıştırılır. Etiketin ölçü aleti üzerinde bulundurulması sakıncalı veya mümkün değil ise ölçü aletinin varsa ambalajına veya kullanım yerine yakın en uygun yere yapıştırılarak kalibrasyon sertifikasına kaydedilir.</w:t>
      </w:r>
    </w:p>
    <w:p w14:paraId="79CB276F"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Laboratuvar dışı kalibrasyon veya doğrulama durumunda kuruluşun etiketi kabul edilir. Kalibrasyon etiketinde; </w:t>
      </w:r>
    </w:p>
    <w:p w14:paraId="01B4D1BA" w14:textId="77777777" w:rsidR="00A24A5E" w:rsidRPr="00EA2676" w:rsidRDefault="00A24A5E" w:rsidP="00A24A5E">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Cihaz/Teçhizat kodu </w:t>
      </w:r>
    </w:p>
    <w:p w14:paraId="10DE7E8D" w14:textId="77777777" w:rsidR="00A24A5E" w:rsidRPr="00EA2676" w:rsidRDefault="00A24A5E" w:rsidP="00A24A5E">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Kalibrasyonun yapıldığı tarih </w:t>
      </w:r>
    </w:p>
    <w:p w14:paraId="42A9A09F" w14:textId="77777777" w:rsidR="00A24A5E" w:rsidRPr="00EA2676" w:rsidRDefault="00A24A5E" w:rsidP="00A24A5E">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Gelecek kalibrasyon tarihi </w:t>
      </w:r>
    </w:p>
    <w:p w14:paraId="59EF5013" w14:textId="7631FD04" w:rsidR="00A24A5E" w:rsidRPr="0006522A" w:rsidRDefault="00A24A5E" w:rsidP="00A24A5E">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Kalibrasyonu yapan personelin adı ve onayı  </w:t>
      </w:r>
      <w:r w:rsidRPr="0006522A">
        <w:rPr>
          <w:rFonts w:ascii="Times New Roman" w:eastAsia="Calibri" w:hAnsi="Times New Roman" w:cs="Times New Roman"/>
          <w:lang w:val="tr-TR"/>
        </w:rPr>
        <w:t>bilgileri bulunur.</w:t>
      </w:r>
    </w:p>
    <w:p w14:paraId="4CDFD58D"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Dış Laboratuvarlarda yaptırılan kalibrasyonların sertifikalarında verilen ölçüm belirsizliklerinin kabul kriterleri içinde olduğu Laboratuvar Teknik Müdürü tarafından kontrol edilerek “Uygundur” diye tanımlanarak kullanıma verilir.</w:t>
      </w:r>
    </w:p>
    <w:p w14:paraId="42104FB3"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 ölçüm aletinin güvenilirliğinin devamı için, kalibrasyon periyotları arasında referans malzeme, Kalite kontrol numuneleri kullanılarak ilgili doğrulama talimatlarına göre doğrulamaları yapılır.</w:t>
      </w:r>
    </w:p>
    <w:p w14:paraId="06CE58D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Eğer sonuçların hesaplanmasında, kalibrasyon sonuçları ile bağlantılı olarak bir düzeltme faktörü kullanılıyorsa, her kalibrasyon sonucuna göre ilgili dokümanlar ve cihazın yazılımında bu düzeltme faktörü güncellenir.</w:t>
      </w:r>
    </w:p>
    <w:p w14:paraId="3532657A"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Cihaz/ölçü aletinin kullanımı sırasında ölçümlerde bir sapma görüldüğünde ölçü aletinin gerekiyorsa bakımı ve kalibrasyonu ilgili personel tarafından önceden belirlenmiş kalibrasyon tarihi beklenmeden yapılır ve kalibrasyon periyodlarında gereken değişiklik yapılır. </w:t>
      </w:r>
    </w:p>
    <w:p w14:paraId="696BD67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b/>
          <w:bCs/>
          <w:lang w:val="tr-TR"/>
        </w:rPr>
      </w:pPr>
      <w:r w:rsidRPr="00EA2676">
        <w:rPr>
          <w:rFonts w:ascii="Times New Roman" w:eastAsia="Calibri" w:hAnsi="Times New Roman" w:cs="Times New Roman"/>
          <w:lang w:val="tr-TR"/>
        </w:rPr>
        <w:t>Şüpheli durumdaki cihazların kalibrasyon/doğrulaması yapılıncaya kadar yanlışlıkla kullanılmasını önleyebilmek için beyaz renkli “ŞÜPHELİ” etiketi ile bekletilir.</w:t>
      </w:r>
    </w:p>
    <w:p w14:paraId="690F17E0"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Kalibrasyon sonucu hata limitleri dışına çıkmış cihaz/ölçü aleti saptanır ise, mümkünse kullanım alanından uzaklaştırılır ve kırmızı “KULLANIM DIŞI” etiketi ile cihazın çalışmadığı tanımlanır, tamiri ve tekrar kalibrasyonu yapılır. Aksi takdirde ölçü aleti hurdaya ayrılır ve ilgili Kritik Cihaz Teçhizat Listesinden ismi çıkarılır. Kullanım yerinden uzaklaştırılamayan ölçü aleti de kullanılmaması için kırmızı renkli KULLANIM DIŞI” etiketi ile tanımlanır.</w:t>
      </w:r>
    </w:p>
    <w:p w14:paraId="0313D042"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Kalibrasyon sonucu hata limitleri dışında saptanan cihazlarla daha önce gerçekleştirilmiş ölçümler yeniden incelenerek geri tarama yapılır ve mümkün olan ölçümler tekrarlanır.</w:t>
      </w:r>
    </w:p>
    <w:p w14:paraId="2A292C53"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Analiz cihazları ve teçhizatının doğrulama ve kalibrasyonunda kullanılan kalibratörlerin ve referans standart /malzemelerin muhafazası ilgili cihaz sorumlularının sorumluluğunda uygun çevre şartlarında sağlanır.</w:t>
      </w:r>
    </w:p>
    <w:p w14:paraId="0896366A"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Laboratuvar içinde yapılan veya farklı kuruluşlara yaptırılan kalibrasyon faaliyetlerinin ilgili kayıtlarının Kayıtların Kontrolü Prosedürüne uygun şekilde muhafazası sağlanır.</w:t>
      </w:r>
    </w:p>
    <w:p w14:paraId="1E3C7658" w14:textId="77777777" w:rsidR="00A24A5E" w:rsidRPr="00EA2676" w:rsidRDefault="00A24A5E" w:rsidP="00B6736D">
      <w:pPr>
        <w:widowControl/>
        <w:autoSpaceDE/>
        <w:autoSpaceDN/>
        <w:spacing w:after="160" w:line="360" w:lineRule="auto"/>
        <w:jc w:val="both"/>
        <w:rPr>
          <w:rFonts w:ascii="Times New Roman" w:eastAsia="Calibri" w:hAnsi="Times New Roman" w:cs="Times New Roman"/>
          <w:lang w:val="tr-TR"/>
        </w:rPr>
      </w:pPr>
    </w:p>
    <w:p w14:paraId="1094DBD3" w14:textId="77777777" w:rsidR="00A24A5E" w:rsidRPr="00EA2676" w:rsidRDefault="00A24A5E" w:rsidP="00A24A5E">
      <w:pPr>
        <w:widowControl/>
        <w:numPr>
          <w:ilvl w:val="1"/>
          <w:numId w:val="1"/>
        </w:numPr>
        <w:autoSpaceDE/>
        <w:autoSpaceDN/>
        <w:spacing w:after="160" w:line="360" w:lineRule="auto"/>
        <w:ind w:left="426"/>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 xml:space="preserve"> Cihazların Bakımı</w:t>
      </w:r>
    </w:p>
    <w:p w14:paraId="39C1D690" w14:textId="77777777" w:rsidR="00A24A5E" w:rsidRPr="00EA2676" w:rsidRDefault="00A24A5E" w:rsidP="00A24A5E">
      <w:pPr>
        <w:widowControl/>
        <w:autoSpaceDE/>
        <w:autoSpaceDN/>
        <w:spacing w:after="160" w:line="360" w:lineRule="auto"/>
        <w:jc w:val="both"/>
        <w:rPr>
          <w:rFonts w:ascii="Times New Roman" w:eastAsia="Calibri" w:hAnsi="Times New Roman" w:cs="Times New Roman"/>
          <w:lang w:val="tr-TR"/>
        </w:rPr>
      </w:pPr>
      <w:r w:rsidRPr="00EA2676">
        <w:rPr>
          <w:rFonts w:ascii="Times New Roman" w:eastAsia="Calibri" w:hAnsi="Times New Roman" w:cs="Times New Roman"/>
          <w:lang w:val="tr-TR"/>
        </w:rPr>
        <w:t>İSTE-BTM laboratuvarında kullanılan cihazlara ilişkin periyodik koruyucu bakım işlemleri her cihaza ait cihaz dosyasında bulunan Kullanım, Bakım ve Kalibrasyon Talimatında belirtilmiştir.</w:t>
      </w:r>
    </w:p>
    <w:p w14:paraId="5C5132E5"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Cihazın özelliğine bağlı olarak belirlenmiş olan günlük/haftalık/aylık/yıllık periyodik bakım işlemleri, Laboratuvar Cihazları Yıllık Bakım Planı doğrultusunda ilgili Analiz Sorumlusu tarafından yapılarak cihaz dosyasında saklanan ilgili Bakım Kayıt Formuna kaydedilir.</w:t>
      </w:r>
    </w:p>
    <w:p w14:paraId="321A5A3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Karşılaşılan sorunlarda/arıza durumlarında ilk işlem sorumluluğu Analiz Sorumlusundadır. </w:t>
      </w:r>
    </w:p>
    <w:p w14:paraId="38033CA8"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Sorun Analiz Sorumlusunun çözemeyeceği nitelikte ise Laboratuvar Müdürü/Müdür Yardımcısı bilgilendirilir ve değerlendirme birlikte yapılır.</w:t>
      </w:r>
    </w:p>
    <w:p w14:paraId="6F3AC29C"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Cihazın tamiri veya ilgili parça temini için cihazın alındığı firma veya firmanın Teknik Servisleri’ ne ulaşma gereği durumunda “Onaylı Tedarikçi Listesi” doğrultusunda bağlantıyı Laboratuvar Müdürü ya da Müdür Yardımcısı kurar ve ilgili teknik servisin değerlendirmesini, sorunun yerinde gidermesini sağlar.</w:t>
      </w:r>
    </w:p>
    <w:p w14:paraId="3C48C2BF"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Yerinde giderilemeyen sorunlarda cihaz Laboratuvar Cihazları Tamiri Teslim Tutanak Formu ile birlikte ilgili firma teknik servisine gönderilir.</w:t>
      </w:r>
    </w:p>
    <w:p w14:paraId="4E63FEC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Cihazın geri alınmasında izleme Laboratuvar Müdürü ya da Müdür Yardımcısı tarafından yapılır.</w:t>
      </w:r>
    </w:p>
    <w:p w14:paraId="6D3175D3"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Tamir/bakımı yapılarak geri getirilen cihaz laboratuvarda çalıştırılarak geri alınır. Cihazın uygunluğunun doğrulamaları yapıldıktan sonra aynı formun "Sonuç" bölümünde onaylanır. Gerekiyorsa kalibrasyonu yaptırılarak kullanıma alınır. Uygunsuzluk durumunda ise yine aynı formun ilgili bölümünde açıklama yapılarak cihazın durumu belirtilir. Kullanıma alınamayan cihaz sorun çözülünceye kadar “KULLANIM DIŞI” etiketi ile bekletilir.</w:t>
      </w:r>
    </w:p>
    <w:p w14:paraId="1D820A94"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Tamire giden veya kullanım dışı kalan cihazlar kullanıma alınmadan önce mutlaka kalibrasyon/doğrulamaları yapılır. Uygunluğu saptanan cihazlar kullanıma alınır.</w:t>
      </w:r>
    </w:p>
    <w:p w14:paraId="20DC8B09"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Tamiri mümkün olmayan cihaz/ölçü aleti hurdaya ayrılır ve Kritik Cihaz Teçhizat Listesinden ismi çıkarılır.</w:t>
      </w:r>
    </w:p>
    <w:p w14:paraId="47CEA5BF" w14:textId="70BDD227" w:rsidR="00A24A5E"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Cihazın arızası, tamiri ve değişen parçalar ile ilgili tüm kayıtlar Cihaz dosyasında muhafaza edilir. Ayrıca Arıza Takip Formuna bu bilgiler kaydedilir.</w:t>
      </w:r>
    </w:p>
    <w:p w14:paraId="3D341D5A" w14:textId="77777777" w:rsidR="0006522A" w:rsidRPr="00EA2676" w:rsidRDefault="0006522A" w:rsidP="00A24A5E">
      <w:pPr>
        <w:widowControl/>
        <w:autoSpaceDE/>
        <w:autoSpaceDN/>
        <w:spacing w:after="160" w:line="360" w:lineRule="auto"/>
        <w:ind w:firstLine="567"/>
        <w:jc w:val="both"/>
        <w:rPr>
          <w:rFonts w:ascii="Times New Roman" w:eastAsia="Calibri" w:hAnsi="Times New Roman" w:cs="Times New Roman"/>
          <w:lang w:val="tr-TR"/>
        </w:rPr>
      </w:pPr>
    </w:p>
    <w:p w14:paraId="5DB9632E" w14:textId="77777777" w:rsidR="00A24A5E" w:rsidRPr="00EA2676" w:rsidRDefault="00A24A5E" w:rsidP="00A24A5E">
      <w:pPr>
        <w:widowControl/>
        <w:numPr>
          <w:ilvl w:val="1"/>
          <w:numId w:val="1"/>
        </w:numPr>
        <w:autoSpaceDE/>
        <w:autoSpaceDN/>
        <w:spacing w:after="160" w:line="360" w:lineRule="auto"/>
        <w:ind w:left="426"/>
        <w:contextualSpacing/>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 xml:space="preserve"> Cihazların Korunması, Taşınması ve Nakli</w:t>
      </w:r>
    </w:p>
    <w:p w14:paraId="2C1ED0E6" w14:textId="77777777" w:rsidR="00A24A5E" w:rsidRPr="00EA2676" w:rsidRDefault="00A24A5E" w:rsidP="00A24A5E">
      <w:pPr>
        <w:widowControl/>
        <w:autoSpaceDE/>
        <w:autoSpaceDN/>
        <w:spacing w:after="160" w:line="360" w:lineRule="auto"/>
        <w:jc w:val="both"/>
        <w:rPr>
          <w:rFonts w:ascii="Times New Roman" w:eastAsia="Calibri" w:hAnsi="Times New Roman" w:cs="Times New Roman"/>
          <w:lang w:val="tr-TR"/>
        </w:rPr>
      </w:pPr>
      <w:r w:rsidRPr="00EA2676">
        <w:rPr>
          <w:rFonts w:ascii="Times New Roman" w:eastAsia="Calibri" w:hAnsi="Times New Roman" w:cs="Times New Roman"/>
          <w:lang w:val="tr-TR"/>
        </w:rPr>
        <w:t>Tüm cihazların düzgün çalışması ve doğru analiz sonuçları alınabilmesi için laboratuvarda uygun sıcaklık, titreşimsiz ortam gibi ortam koşulları hazırlanmakta ve bu koşulların devamını sağlamak için sıcaklıklar izlenmekte ve kayıt altına alınmaktadır.</w:t>
      </w:r>
    </w:p>
    <w:p w14:paraId="3540E4B1"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Cihazlar sadece yetkilendirilmiş personel tarafında kullanılır. ICP-MS, AAS, FTIR, UV analitik cihazlarında Analiz Sorumluları cihaz şifresi ile cihazı açarak kullanıma alırlar.</w:t>
      </w:r>
    </w:p>
    <w:p w14:paraId="15922BAD"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Cihazların gerek laboratuvar içinde taşınması, yer değiştirilmesi, gerekse tamiri gibi nedenlerle dışarıya yollanması durumunda üretici firma tarafından belirtilen ambalajlama ve taşıma koşulları uygulanır.</w:t>
      </w:r>
    </w:p>
    <w:p w14:paraId="23A2495E" w14:textId="77777777" w:rsidR="00A24A5E" w:rsidRPr="00EA2676" w:rsidRDefault="00A24A5E" w:rsidP="00A24A5E">
      <w:pPr>
        <w:widowControl/>
        <w:autoSpaceDE/>
        <w:autoSpaceDN/>
        <w:spacing w:after="160" w:line="360" w:lineRule="auto"/>
        <w:ind w:firstLine="567"/>
        <w:jc w:val="both"/>
        <w:rPr>
          <w:rFonts w:ascii="Times New Roman" w:eastAsia="Calibri" w:hAnsi="Times New Roman" w:cs="Times New Roman"/>
          <w:lang w:val="tr-TR"/>
        </w:rPr>
      </w:pPr>
      <w:r w:rsidRPr="00EA2676">
        <w:rPr>
          <w:rFonts w:ascii="Times New Roman" w:eastAsia="Calibri" w:hAnsi="Times New Roman" w:cs="Times New Roman"/>
          <w:lang w:val="tr-TR"/>
        </w:rPr>
        <w:t>Cihazlarla ilgili tüm kayıtlar her cihaza ait cihaz dosyalarında Kayıtların Kontrolü Prosedürüne uygun şekilde analiz sorumlularınca muhafaza edilir.</w:t>
      </w:r>
    </w:p>
    <w:p w14:paraId="23E5537F" w14:textId="77777777" w:rsidR="00A24A5E" w:rsidRPr="00EA2676" w:rsidRDefault="00A24A5E" w:rsidP="00A24A5E">
      <w:pPr>
        <w:widowControl/>
        <w:autoSpaceDE/>
        <w:autoSpaceDN/>
        <w:spacing w:after="160" w:line="360" w:lineRule="auto"/>
        <w:jc w:val="both"/>
        <w:rPr>
          <w:rFonts w:ascii="Times New Roman" w:eastAsia="Calibri" w:hAnsi="Times New Roman" w:cs="Times New Roman"/>
          <w:b/>
          <w:bCs/>
          <w:lang w:val="tr-TR"/>
        </w:rPr>
      </w:pPr>
      <w:r w:rsidRPr="00EA2676">
        <w:rPr>
          <w:rFonts w:ascii="Times New Roman" w:eastAsia="Calibri" w:hAnsi="Times New Roman" w:cs="Times New Roman"/>
          <w:b/>
          <w:bCs/>
          <w:lang w:val="tr-TR"/>
        </w:rPr>
        <w:t>6. İLGİLİ DOKÜMANLAR</w:t>
      </w:r>
    </w:p>
    <w:p w14:paraId="2FC0F964"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 Etiketi</w:t>
      </w:r>
    </w:p>
    <w:p w14:paraId="192C4B65"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Kalibrasyon/Doğrulama Kayıt Formları</w:t>
      </w:r>
    </w:p>
    <w:p w14:paraId="535521E7"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Satın Alınan Cihaz/Ekipman Değerlendirme ve Onay Formu</w:t>
      </w:r>
    </w:p>
    <w:p w14:paraId="04028E50"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Bakım Kayıt Formları</w:t>
      </w:r>
    </w:p>
    <w:p w14:paraId="711A3C0C"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Arıza Takip Formu</w:t>
      </w:r>
    </w:p>
    <w:p w14:paraId="167E7FEA"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 xml:space="preserve">Kritik Cihaz Teçhizat Listesi   </w:t>
      </w:r>
    </w:p>
    <w:p w14:paraId="0DFDE8B0"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Onaylı Tedarikçi Listesi</w:t>
      </w:r>
    </w:p>
    <w:p w14:paraId="60D44FA6"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Laboratuvar Cihazları Yıllık Bakım Planı</w:t>
      </w:r>
    </w:p>
    <w:p w14:paraId="4C00777C"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Laboratuvar Cihazları Teslim Tutanak Formu</w:t>
      </w:r>
    </w:p>
    <w:p w14:paraId="48F4A444"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Kayıtların Kontrolü Prosedürü</w:t>
      </w:r>
    </w:p>
    <w:p w14:paraId="6C4EA4D5"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Kullanım, Bakım ve Kalibrasyon Talimatları</w:t>
      </w:r>
    </w:p>
    <w:p w14:paraId="2016814F"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Cihaz Dosyaları</w:t>
      </w:r>
    </w:p>
    <w:p w14:paraId="1A6B65FB" w14:textId="77777777" w:rsidR="00A24A5E" w:rsidRPr="00EA2676" w:rsidRDefault="00A24A5E" w:rsidP="00A24A5E">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EA2676">
        <w:rPr>
          <w:rFonts w:ascii="Times New Roman" w:eastAsia="Calibri" w:hAnsi="Times New Roman" w:cs="Times New Roman"/>
          <w:lang w:val="tr-TR"/>
        </w:rPr>
        <w:t>Cihaz Katalogları</w:t>
      </w:r>
    </w:p>
    <w:p w14:paraId="2533FD17" w14:textId="77777777" w:rsidR="00A24A5E" w:rsidRPr="00EA2676" w:rsidRDefault="00A24A5E" w:rsidP="00A24A5E">
      <w:pPr>
        <w:widowControl/>
        <w:autoSpaceDE/>
        <w:autoSpaceDN/>
        <w:spacing w:after="160" w:line="360" w:lineRule="auto"/>
        <w:ind w:left="360"/>
        <w:contextualSpacing/>
        <w:jc w:val="both"/>
        <w:rPr>
          <w:rFonts w:ascii="Times New Roman" w:eastAsia="Calibri" w:hAnsi="Times New Roman" w:cs="Times New Roman"/>
          <w:lang w:val="tr-TR"/>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A24A5E" w:rsidRPr="00EA2676" w14:paraId="4939A92B" w14:textId="77777777" w:rsidTr="000B7E58">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568129F4" w14:textId="77777777" w:rsidR="00A24A5E" w:rsidRPr="00EA2676" w:rsidRDefault="00A24A5E" w:rsidP="00A24A5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A2676">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3433643C" w14:textId="77777777" w:rsidR="00A24A5E" w:rsidRPr="00EA2676" w:rsidRDefault="00A24A5E" w:rsidP="00A24A5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A2676">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32992F89" w14:textId="77777777" w:rsidR="00A24A5E" w:rsidRPr="00EA2676" w:rsidRDefault="00A24A5E" w:rsidP="00A24A5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A2676">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39C1572A" w14:textId="77777777" w:rsidR="00A24A5E" w:rsidRPr="00EA2676" w:rsidRDefault="00A24A5E" w:rsidP="00A24A5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A2676">
              <w:rPr>
                <w:rFonts w:ascii="Times New Roman" w:eastAsia="Calibri" w:hAnsi="Times New Roman" w:cs="Times New Roman"/>
                <w:b/>
                <w:bCs/>
                <w:lang w:val="tr-TR"/>
              </w:rPr>
              <w:t>Değişiklik Açıklaması / Nedeni</w:t>
            </w:r>
          </w:p>
        </w:tc>
      </w:tr>
    </w:tbl>
    <w:p w14:paraId="13C5D1DA" w14:textId="77777777" w:rsidR="00316953" w:rsidRDefault="00316953" w:rsidP="00BD64B0">
      <w:pPr>
        <w:pStyle w:val="KonuBal"/>
        <w:ind w:left="0"/>
        <w:rPr>
          <w:sz w:val="20"/>
        </w:rPr>
      </w:pPr>
    </w:p>
    <w:sectPr w:rsidR="00316953" w:rsidSect="00036F3B">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DC65" w14:textId="77777777" w:rsidR="00EB2CE6" w:rsidRDefault="00EB2CE6" w:rsidP="007746F3">
      <w:r>
        <w:separator/>
      </w:r>
    </w:p>
  </w:endnote>
  <w:endnote w:type="continuationSeparator" w:id="0">
    <w:p w14:paraId="18C0ABC4" w14:textId="77777777" w:rsidR="00EB2CE6" w:rsidRDefault="00EB2CE6"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4B83" w14:textId="77777777" w:rsidR="005B699A" w:rsidRDefault="005B699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7746F3" w14:paraId="633DDC21" w14:textId="77777777" w:rsidTr="00E5122A">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BD3BE58" w14:textId="77777777" w:rsidR="00B522A5" w:rsidRDefault="00B522A5" w:rsidP="007746F3">
          <w:pPr>
            <w:tabs>
              <w:tab w:val="center" w:pos="4536"/>
              <w:tab w:val="right" w:pos="9072"/>
            </w:tabs>
            <w:jc w:val="center"/>
            <w:rPr>
              <w:rFonts w:ascii="Times New Roman" w:hAnsi="Times New Roman" w:cs="Times New Roman"/>
              <w:b/>
              <w:color w:val="000000" w:themeColor="text1"/>
              <w:sz w:val="16"/>
              <w:szCs w:val="16"/>
            </w:rPr>
          </w:pPr>
        </w:p>
        <w:p w14:paraId="25BB067B" w14:textId="42A16C78" w:rsidR="007746F3" w:rsidRDefault="00B522A5" w:rsidP="0017724A">
          <w:pPr>
            <w:tabs>
              <w:tab w:val="center" w:pos="4536"/>
              <w:tab w:val="right" w:pos="9072"/>
            </w:tabs>
            <w:jc w:val="center"/>
            <w:rPr>
              <w:rFonts w:ascii="Times New Roman" w:hAnsi="Times New Roman" w:cs="Times New Roman"/>
              <w:b/>
              <w:sz w:val="16"/>
              <w:szCs w:val="16"/>
            </w:rPr>
          </w:pPr>
          <w:r w:rsidRPr="00B522A5">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BB9B" w14:textId="77777777" w:rsidR="005B699A" w:rsidRDefault="005B69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CDF3" w14:textId="77777777" w:rsidR="00EB2CE6" w:rsidRDefault="00EB2CE6" w:rsidP="007746F3">
      <w:r>
        <w:separator/>
      </w:r>
    </w:p>
  </w:footnote>
  <w:footnote w:type="continuationSeparator" w:id="0">
    <w:p w14:paraId="6A958FDE" w14:textId="77777777" w:rsidR="00EB2CE6" w:rsidRDefault="00EB2CE6"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57DA" w14:textId="77777777" w:rsidR="005B699A" w:rsidRDefault="005B69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9" w:type="dxa"/>
      <w:tblInd w:w="-5" w:type="dxa"/>
      <w:tblLook w:val="04A0" w:firstRow="1" w:lastRow="0" w:firstColumn="1" w:lastColumn="0" w:noHBand="0" w:noVBand="1"/>
    </w:tblPr>
    <w:tblGrid>
      <w:gridCol w:w="1720"/>
      <w:gridCol w:w="1785"/>
      <w:gridCol w:w="2871"/>
      <w:gridCol w:w="1661"/>
      <w:gridCol w:w="1752"/>
    </w:tblGrid>
    <w:tr w:rsidR="00C42DC8" w:rsidRPr="00B36592" w14:paraId="27AC2E93" w14:textId="77777777" w:rsidTr="00EA2676">
      <w:trPr>
        <w:trHeight w:val="708"/>
      </w:trPr>
      <w:tc>
        <w:tcPr>
          <w:tcW w:w="1720" w:type="dxa"/>
          <w:vMerge w:val="restart"/>
          <w:vAlign w:val="center"/>
        </w:tcPr>
        <w:p w14:paraId="2771A10F" w14:textId="77777777" w:rsidR="00C42DC8" w:rsidRPr="00B36592" w:rsidRDefault="00C42DC8"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3BE04F32">
                <wp:simplePos x="0" y="0"/>
                <wp:positionH relativeFrom="column">
                  <wp:posOffset>-11430</wp:posOffset>
                </wp:positionH>
                <wp:positionV relativeFrom="paragraph">
                  <wp:posOffset>17145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69" w:type="dxa"/>
          <w:gridSpan w:val="4"/>
          <w:vAlign w:val="center"/>
        </w:tcPr>
        <w:p w14:paraId="4D3C91A4" w14:textId="4FC52B28" w:rsidR="00C42DC8" w:rsidRPr="00AC420E" w:rsidRDefault="00C42DC8" w:rsidP="005B2C99">
          <w:pPr>
            <w:jc w:val="center"/>
            <w:rPr>
              <w:rFonts w:ascii="Times New Roman" w:hAnsi="Times New Roman" w:cs="Times New Roman"/>
              <w:sz w:val="20"/>
            </w:rPr>
          </w:pPr>
          <w:r w:rsidRPr="00A24A5E">
            <w:rPr>
              <w:rFonts w:ascii="Times New Roman" w:hAnsi="Times New Roman" w:cs="Times New Roman"/>
            </w:rPr>
            <w:t xml:space="preserve">CİHAZ KONTROL </w:t>
          </w:r>
          <w:r w:rsidR="005B699A" w:rsidRPr="005B699A">
            <w:rPr>
              <w:rFonts w:ascii="Times New Roman" w:hAnsi="Times New Roman" w:cs="Times New Roman"/>
              <w:lang w:val="en-US"/>
            </w:rPr>
            <w:t>TALİMATI</w:t>
          </w:r>
        </w:p>
      </w:tc>
    </w:tr>
    <w:tr w:rsidR="007746F3" w:rsidRPr="00B36592" w14:paraId="6F2E117F" w14:textId="77777777" w:rsidTr="00EA2676">
      <w:trPr>
        <w:trHeight w:hRule="exact" w:val="282"/>
      </w:trPr>
      <w:tc>
        <w:tcPr>
          <w:tcW w:w="1720" w:type="dxa"/>
          <w:vMerge/>
          <w:vAlign w:val="center"/>
        </w:tcPr>
        <w:p w14:paraId="138389C2" w14:textId="77777777" w:rsidR="007746F3" w:rsidRPr="00B36592" w:rsidRDefault="007746F3" w:rsidP="007746F3">
          <w:pPr>
            <w:rPr>
              <w:sz w:val="20"/>
            </w:rPr>
          </w:pPr>
        </w:p>
      </w:tc>
      <w:tc>
        <w:tcPr>
          <w:tcW w:w="1785"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71" w:type="dxa"/>
          <w:vAlign w:val="center"/>
        </w:tcPr>
        <w:p w14:paraId="528E9E3C" w14:textId="040D83EA" w:rsidR="007746F3" w:rsidRPr="00837053" w:rsidRDefault="001463B3" w:rsidP="007746F3">
          <w:pPr>
            <w:rPr>
              <w:rFonts w:ascii="Times New Roman" w:hAnsi="Times New Roman" w:cs="Times New Roman"/>
            </w:rPr>
          </w:pPr>
          <w:r>
            <w:rPr>
              <w:rFonts w:ascii="Times New Roman" w:hAnsi="Times New Roman" w:cs="Times New Roman"/>
            </w:rPr>
            <w:t>TLM-</w:t>
          </w:r>
          <w:r w:rsidR="0017724A">
            <w:rPr>
              <w:rFonts w:ascii="Times New Roman" w:hAnsi="Times New Roman" w:cs="Times New Roman"/>
            </w:rPr>
            <w:t>58</w:t>
          </w:r>
        </w:p>
      </w:tc>
      <w:tc>
        <w:tcPr>
          <w:tcW w:w="166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52"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3C2191" w:rsidRPr="00B36592" w14:paraId="5DED7287" w14:textId="77777777" w:rsidTr="00EA2676">
      <w:trPr>
        <w:trHeight w:hRule="exact" w:val="269"/>
      </w:trPr>
      <w:tc>
        <w:tcPr>
          <w:tcW w:w="1720" w:type="dxa"/>
          <w:vMerge/>
          <w:vAlign w:val="center"/>
        </w:tcPr>
        <w:p w14:paraId="55622155" w14:textId="77777777" w:rsidR="003C2191" w:rsidRPr="00B36592" w:rsidRDefault="003C2191" w:rsidP="003C2191">
          <w:pPr>
            <w:rPr>
              <w:sz w:val="20"/>
            </w:rPr>
          </w:pPr>
        </w:p>
      </w:tc>
      <w:tc>
        <w:tcPr>
          <w:tcW w:w="1785" w:type="dxa"/>
          <w:vAlign w:val="center"/>
        </w:tcPr>
        <w:p w14:paraId="30A59ECF" w14:textId="77777777" w:rsidR="003C2191" w:rsidRPr="00837053" w:rsidRDefault="003C2191" w:rsidP="003C2191">
          <w:pPr>
            <w:rPr>
              <w:rFonts w:ascii="Times New Roman" w:hAnsi="Times New Roman" w:cs="Times New Roman"/>
            </w:rPr>
          </w:pPr>
          <w:r w:rsidRPr="00837053">
            <w:rPr>
              <w:rFonts w:ascii="Times New Roman" w:hAnsi="Times New Roman" w:cs="Times New Roman"/>
            </w:rPr>
            <w:t>İlk Yayın Tarihi</w:t>
          </w:r>
        </w:p>
      </w:tc>
      <w:tc>
        <w:tcPr>
          <w:tcW w:w="2871" w:type="dxa"/>
          <w:vAlign w:val="center"/>
        </w:tcPr>
        <w:p w14:paraId="5CCA3860" w14:textId="30BC7F89" w:rsidR="003C2191" w:rsidRPr="00837053" w:rsidRDefault="003C2191" w:rsidP="003C2191">
          <w:pPr>
            <w:rPr>
              <w:rFonts w:ascii="Times New Roman" w:hAnsi="Times New Roman" w:cs="Times New Roman"/>
            </w:rPr>
          </w:pPr>
          <w:r w:rsidRPr="00857CA1">
            <w:rPr>
              <w:rFonts w:ascii="Times New Roman" w:hAnsi="Times New Roman" w:cs="Times New Roman"/>
            </w:rPr>
            <w:t>24.01.2025</w:t>
          </w:r>
        </w:p>
      </w:tc>
      <w:tc>
        <w:tcPr>
          <w:tcW w:w="1661" w:type="dxa"/>
          <w:vAlign w:val="center"/>
        </w:tcPr>
        <w:p w14:paraId="54E19829" w14:textId="77777777" w:rsidR="003C2191" w:rsidRPr="00837053" w:rsidRDefault="003C2191" w:rsidP="003C2191">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52" w:type="dxa"/>
          <w:vAlign w:val="center"/>
        </w:tcPr>
        <w:p w14:paraId="6D973C33" w14:textId="77777777" w:rsidR="003C2191" w:rsidRPr="00837053" w:rsidRDefault="003C2191" w:rsidP="003C2191">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EA2676">
      <w:trPr>
        <w:trHeight w:hRule="exact" w:val="269"/>
      </w:trPr>
      <w:tc>
        <w:tcPr>
          <w:tcW w:w="1720" w:type="dxa"/>
          <w:vMerge/>
          <w:vAlign w:val="center"/>
        </w:tcPr>
        <w:p w14:paraId="794F8493" w14:textId="77777777" w:rsidR="007746F3" w:rsidRPr="00B36592" w:rsidRDefault="007746F3" w:rsidP="007746F3">
          <w:pPr>
            <w:rPr>
              <w:sz w:val="20"/>
            </w:rPr>
          </w:pPr>
        </w:p>
      </w:tc>
      <w:tc>
        <w:tcPr>
          <w:tcW w:w="4656"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66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52" w:type="dxa"/>
          <w:vAlign w:val="center"/>
        </w:tcPr>
        <w:sdt>
          <w:sdtPr>
            <w:id w:val="527216409"/>
            <w:docPartObj>
              <w:docPartGallery w:val="Page Numbers (Bottom of Page)"/>
              <w:docPartUnique/>
            </w:docPartObj>
          </w:sdtPr>
          <w:sdtContent>
            <w:p w14:paraId="12B7091F" w14:textId="75F5B01E" w:rsidR="00316953" w:rsidRDefault="00BD64B0" w:rsidP="00316953">
              <w:pPr>
                <w:pStyle w:val="AltBilgi"/>
              </w:pPr>
              <w:r>
                <w:t>7</w:t>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050C" w14:textId="77777777" w:rsidR="005B699A" w:rsidRDefault="005B69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06"/>
    <w:multiLevelType w:val="hybridMultilevel"/>
    <w:tmpl w:val="FBAA4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FF4FEA"/>
    <w:multiLevelType w:val="hybridMultilevel"/>
    <w:tmpl w:val="164CE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806D78"/>
    <w:multiLevelType w:val="multilevel"/>
    <w:tmpl w:val="CC6A99C6"/>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9AE753D"/>
    <w:multiLevelType w:val="hybridMultilevel"/>
    <w:tmpl w:val="EB14FE5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705072A0"/>
    <w:multiLevelType w:val="hybridMultilevel"/>
    <w:tmpl w:val="448071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C767B6B"/>
    <w:multiLevelType w:val="hybridMultilevel"/>
    <w:tmpl w:val="0DA4C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4896998">
    <w:abstractNumId w:val="2"/>
  </w:num>
  <w:num w:numId="2" w16cid:durableId="698168447">
    <w:abstractNumId w:val="0"/>
  </w:num>
  <w:num w:numId="3" w16cid:durableId="1938630474">
    <w:abstractNumId w:val="3"/>
  </w:num>
  <w:num w:numId="4" w16cid:durableId="1236626450">
    <w:abstractNumId w:val="5"/>
  </w:num>
  <w:num w:numId="5" w16cid:durableId="3484453">
    <w:abstractNumId w:val="1"/>
  </w:num>
  <w:num w:numId="6" w16cid:durableId="1785034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36F3B"/>
    <w:rsid w:val="0006522A"/>
    <w:rsid w:val="000718D6"/>
    <w:rsid w:val="000B112F"/>
    <w:rsid w:val="001463B3"/>
    <w:rsid w:val="0015516E"/>
    <w:rsid w:val="0017724A"/>
    <w:rsid w:val="001C0EF4"/>
    <w:rsid w:val="00216B3D"/>
    <w:rsid w:val="002F545B"/>
    <w:rsid w:val="00301533"/>
    <w:rsid w:val="00316953"/>
    <w:rsid w:val="003C2191"/>
    <w:rsid w:val="003C7F8E"/>
    <w:rsid w:val="00413AFF"/>
    <w:rsid w:val="00453B44"/>
    <w:rsid w:val="00522F6B"/>
    <w:rsid w:val="005B2C99"/>
    <w:rsid w:val="005B699A"/>
    <w:rsid w:val="005D3B33"/>
    <w:rsid w:val="005F3EF5"/>
    <w:rsid w:val="006756EB"/>
    <w:rsid w:val="006931FF"/>
    <w:rsid w:val="0074750A"/>
    <w:rsid w:val="007746F3"/>
    <w:rsid w:val="0077790B"/>
    <w:rsid w:val="007D1866"/>
    <w:rsid w:val="00901FDE"/>
    <w:rsid w:val="00997857"/>
    <w:rsid w:val="00A24A5E"/>
    <w:rsid w:val="00AC420E"/>
    <w:rsid w:val="00AD2629"/>
    <w:rsid w:val="00B00785"/>
    <w:rsid w:val="00B27D70"/>
    <w:rsid w:val="00B33F63"/>
    <w:rsid w:val="00B43330"/>
    <w:rsid w:val="00B522A5"/>
    <w:rsid w:val="00B6736D"/>
    <w:rsid w:val="00BD05CC"/>
    <w:rsid w:val="00BD64B0"/>
    <w:rsid w:val="00C25D2A"/>
    <w:rsid w:val="00C42DC8"/>
    <w:rsid w:val="00E43B4B"/>
    <w:rsid w:val="00E5122A"/>
    <w:rsid w:val="00EA2676"/>
    <w:rsid w:val="00EB2CE6"/>
    <w:rsid w:val="00F21E0B"/>
    <w:rsid w:val="00FB7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6B8C46F6-C012-4DB2-8A87-70D683FF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1941</Words>
  <Characters>11070</Characters>
  <Application>Microsoft Office Word</Application>
  <DocSecurity>0</DocSecurity>
  <Lines>92</Lines>
  <Paragraphs>25</Paragraphs>
  <ScaleCrop>false</ScaleCrop>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14</cp:revision>
  <dcterms:created xsi:type="dcterms:W3CDTF">2024-01-02T11:06:00Z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