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F89C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3B624014" w14:textId="77777777" w:rsidR="004D4FAA" w:rsidRDefault="004D4FAA" w:rsidP="007C7AE1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3411D13" w14:textId="77777777" w:rsidR="007C7AE1" w:rsidRPr="007C7AE1" w:rsidRDefault="007C7AE1" w:rsidP="007C7AE1">
      <w:pPr>
        <w:pStyle w:val="AralkYok"/>
        <w:jc w:val="both"/>
        <w:rPr>
          <w:rFonts w:ascii="Cambria" w:hAnsi="Cambria" w:cstheme="minorHAnsi"/>
        </w:rPr>
      </w:pPr>
      <w:r w:rsidRPr="007C7AE1">
        <w:rPr>
          <w:rFonts w:ascii="Cambria" w:hAnsi="Cambria"/>
        </w:rPr>
        <w:t xml:space="preserve">Bu talimat; </w:t>
      </w:r>
      <w:r w:rsidR="004568F6">
        <w:rPr>
          <w:rFonts w:ascii="Cambria" w:hAnsi="Cambria"/>
        </w:rPr>
        <w:t xml:space="preserve">İskenderun Teknik </w:t>
      </w:r>
      <w:r w:rsidR="00AD1221">
        <w:rPr>
          <w:rFonts w:ascii="Cambria" w:hAnsi="Cambria"/>
        </w:rPr>
        <w:t xml:space="preserve">Üniversitesi Mühendislik ve Doğa Bilimleri Fakültesi </w:t>
      </w:r>
      <w:r w:rsidRPr="007C7AE1">
        <w:rPr>
          <w:rFonts w:ascii="Cambria" w:hAnsi="Cambria"/>
        </w:rPr>
        <w:t>yerleşkelerinde bulunan fotokopi makinalarının tekniğine ve iş güvenliği kurallarına uygun şekilde kullanılmasıdır.</w:t>
      </w:r>
    </w:p>
    <w:p w14:paraId="34054BA1" w14:textId="77777777" w:rsidR="007C7AE1" w:rsidRPr="00454D81" w:rsidRDefault="007C7AE1" w:rsidP="007C7AE1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A331E47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261D6BE0" w14:textId="77777777" w:rsidR="004D4FAA" w:rsidRDefault="004D4FAA" w:rsidP="004D4FAA">
      <w:pPr>
        <w:pStyle w:val="AralkYok"/>
        <w:rPr>
          <w:color w:val="002060"/>
        </w:rPr>
      </w:pPr>
    </w:p>
    <w:p w14:paraId="51C0414C" w14:textId="77777777" w:rsidR="00BC74DD" w:rsidRPr="000E032B" w:rsidRDefault="00BC74DD" w:rsidP="00BC74DD">
      <w:pPr>
        <w:pStyle w:val="AralkYok"/>
        <w:jc w:val="both"/>
        <w:rPr>
          <w:rFonts w:ascii="Cambria" w:hAnsi="Cambria"/>
        </w:rPr>
      </w:pPr>
      <w:r w:rsidRPr="000E032B">
        <w:rPr>
          <w:rFonts w:ascii="Cambria" w:hAnsi="Cambria"/>
        </w:rPr>
        <w:t xml:space="preserve">Bu talimat; </w:t>
      </w:r>
      <w:r w:rsidR="004568F6">
        <w:rPr>
          <w:rFonts w:ascii="Cambria" w:hAnsi="Cambria"/>
        </w:rPr>
        <w:t xml:space="preserve">İskenderun Teknik </w:t>
      </w:r>
      <w:r w:rsidRPr="00BC74DD">
        <w:rPr>
          <w:rFonts w:ascii="Cambria" w:hAnsi="Cambria"/>
        </w:rPr>
        <w:t>Üniversitesi yerleşkelerinde bulunan fo</w:t>
      </w:r>
      <w:r>
        <w:rPr>
          <w:rFonts w:ascii="Cambria" w:hAnsi="Cambria"/>
        </w:rPr>
        <w:t>to</w:t>
      </w:r>
      <w:r w:rsidRPr="00BC74DD">
        <w:rPr>
          <w:rFonts w:ascii="Cambria" w:hAnsi="Cambria"/>
        </w:rPr>
        <w:t>kopi makinaları kapsamaktadır</w:t>
      </w:r>
    </w:p>
    <w:p w14:paraId="5795E10A" w14:textId="77777777" w:rsidR="00BC74DD" w:rsidRDefault="00BC74DD" w:rsidP="004D4FAA">
      <w:pPr>
        <w:pStyle w:val="AralkYok"/>
        <w:rPr>
          <w:color w:val="002060"/>
        </w:rPr>
      </w:pPr>
    </w:p>
    <w:p w14:paraId="2BE73412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5FC55E8B" w14:textId="77777777" w:rsidR="004D4FAA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1C8E9B1" w14:textId="77777777" w:rsidR="00BC74DD" w:rsidRDefault="00BC74DD" w:rsidP="00BC74DD">
      <w:pPr>
        <w:pStyle w:val="AralkYok"/>
        <w:jc w:val="both"/>
        <w:rPr>
          <w:rFonts w:ascii="Cambria" w:hAnsi="Cambria"/>
        </w:rPr>
      </w:pPr>
      <w:r w:rsidRPr="000E032B">
        <w:rPr>
          <w:rFonts w:ascii="Cambria" w:hAnsi="Cambria"/>
        </w:rPr>
        <w:t xml:space="preserve">Faaliyetlerin plana uygun yürütülmesinden öncelikle Genel Sekreterlik ile İdari ve Mali İşler Daire Başkanlığı </w:t>
      </w:r>
      <w:r>
        <w:rPr>
          <w:rFonts w:ascii="Cambria" w:hAnsi="Cambria"/>
        </w:rPr>
        <w:t xml:space="preserve">ve Yapı İşleri ve Teknik Daire Başkanlığı </w:t>
      </w:r>
      <w:r w:rsidRPr="000E032B">
        <w:rPr>
          <w:rFonts w:ascii="Cambria" w:hAnsi="Cambria"/>
        </w:rPr>
        <w:t>belir</w:t>
      </w:r>
      <w:r w:rsidR="00AB2FD7">
        <w:rPr>
          <w:rFonts w:ascii="Cambria" w:hAnsi="Cambria"/>
        </w:rPr>
        <w:t>tilen talimatlara uyulmasından t</w:t>
      </w:r>
      <w:r w:rsidRPr="000E032B">
        <w:rPr>
          <w:rFonts w:ascii="Cambria" w:hAnsi="Cambria"/>
        </w:rPr>
        <w:t>üm birimler sorumludur. Bu sorumlulukların yerine getirilmesi için ihtiyaç duyulan tüm gereçler Üniversitemiz tarafından karşılanmaktadır.</w:t>
      </w:r>
    </w:p>
    <w:p w14:paraId="03B9F40F" w14:textId="77777777" w:rsidR="00BC74DD" w:rsidRPr="000E032B" w:rsidRDefault="00BC74DD" w:rsidP="00BC74DD">
      <w:pPr>
        <w:pStyle w:val="AralkYok"/>
        <w:jc w:val="both"/>
        <w:rPr>
          <w:rFonts w:ascii="Cambria" w:hAnsi="Cambria"/>
        </w:rPr>
      </w:pPr>
    </w:p>
    <w:p w14:paraId="0FD4A53D" w14:textId="77777777" w:rsidR="00BC74DD" w:rsidRPr="000E032B" w:rsidRDefault="00BC74DD" w:rsidP="00BC74DD">
      <w:pPr>
        <w:pStyle w:val="AralkYok"/>
        <w:jc w:val="both"/>
        <w:rPr>
          <w:rFonts w:ascii="Cambria" w:hAnsi="Cambria"/>
        </w:rPr>
      </w:pPr>
      <w:r w:rsidRPr="000E032B">
        <w:rPr>
          <w:rFonts w:ascii="Cambria" w:hAnsi="Cambria"/>
        </w:rPr>
        <w:t xml:space="preserve">Dokümanın hazırlanması, sürekliğinin sağlanması ve revizyonundan </w:t>
      </w:r>
      <w:r w:rsidR="00AB2FD7" w:rsidRPr="000E032B">
        <w:rPr>
          <w:rFonts w:ascii="Cambria" w:hAnsi="Cambria"/>
        </w:rPr>
        <w:t xml:space="preserve">Kalite Koordinatörlüğü </w:t>
      </w:r>
      <w:r w:rsidRPr="000E032B">
        <w:rPr>
          <w:rFonts w:ascii="Cambria" w:hAnsi="Cambria"/>
        </w:rPr>
        <w:t xml:space="preserve">ile </w:t>
      </w:r>
      <w:r w:rsidR="009E7260">
        <w:rPr>
          <w:rFonts w:ascii="Cambria" w:hAnsi="Cambria"/>
        </w:rPr>
        <w:t xml:space="preserve">Mühendislik ve Doğa Bilimleri Fakültesi </w:t>
      </w:r>
      <w:r w:rsidRPr="000E032B">
        <w:rPr>
          <w:rFonts w:ascii="Cambria" w:hAnsi="Cambria"/>
        </w:rPr>
        <w:t xml:space="preserve">sorumludur. </w:t>
      </w:r>
    </w:p>
    <w:p w14:paraId="6BD3DB11" w14:textId="77777777" w:rsidR="00BC74DD" w:rsidRDefault="00BC74DD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9880713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32842CF5" w14:textId="77777777" w:rsidR="004D4FAA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3BD90AB" w14:textId="77777777" w:rsidR="00AB2FD7" w:rsidRPr="000E032B" w:rsidRDefault="00AB2FD7" w:rsidP="00AB2FD7">
      <w:pPr>
        <w:pStyle w:val="AralkYok"/>
        <w:jc w:val="both"/>
        <w:rPr>
          <w:rFonts w:ascii="Cambria" w:hAnsi="Cambria"/>
        </w:rPr>
      </w:pPr>
      <w:r w:rsidRPr="000E032B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6A63A58B" w14:textId="77777777" w:rsidR="00EB317B" w:rsidRPr="00454D81" w:rsidRDefault="00EB317B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BD2B2E5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2D25B629" w14:textId="77777777" w:rsidR="004D4FAA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ACA1ADD" w14:textId="77777777" w:rsidR="00AB2FD7" w:rsidRPr="00AB2FD7" w:rsidRDefault="00AB2FD7" w:rsidP="00AB2FD7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 w:rsidRPr="00AB2FD7">
        <w:rPr>
          <w:rFonts w:ascii="Cambria" w:hAnsi="Cambria"/>
        </w:rPr>
        <w:t>Fiş’in prize takılı olup olmadığı kontrol edilir ve açma düğmesine basılarak makine açılır.</w:t>
      </w:r>
    </w:p>
    <w:p w14:paraId="56754D33" w14:textId="77777777" w:rsidR="00AB2FD7" w:rsidRPr="00AB2FD7" w:rsidRDefault="00AB2FD7" w:rsidP="00AB2FD7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 w:rsidRPr="00AB2FD7">
        <w:rPr>
          <w:rFonts w:ascii="Cambria" w:hAnsi="Cambria"/>
        </w:rPr>
        <w:t>Makinenin kağıt ve toner durumları gözden geçirilir.</w:t>
      </w:r>
    </w:p>
    <w:p w14:paraId="6D1F9137" w14:textId="77777777" w:rsidR="00AB2FD7" w:rsidRPr="00AB2FD7" w:rsidRDefault="00AB2FD7" w:rsidP="00AB2FD7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 w:rsidRPr="00AB2FD7">
        <w:rPr>
          <w:rFonts w:ascii="Cambria" w:hAnsi="Cambria"/>
        </w:rPr>
        <w:t xml:space="preserve">Cihazın kapağı kaldırılır ve kopyalanacak olan doküman cam üzerine yerleştirilir. </w:t>
      </w:r>
    </w:p>
    <w:p w14:paraId="6F12D633" w14:textId="77777777" w:rsidR="00AB2FD7" w:rsidRPr="00AB2FD7" w:rsidRDefault="00AB2FD7" w:rsidP="00AB2FD7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 w:rsidRPr="00AB2FD7">
        <w:rPr>
          <w:rFonts w:ascii="Cambria" w:hAnsi="Cambria"/>
        </w:rPr>
        <w:t xml:space="preserve">İstenilen şekilde ana fonksiyonları ayarlanır. Klavye kullanılarak kopya sayısı girilir. </w:t>
      </w:r>
    </w:p>
    <w:p w14:paraId="40B06008" w14:textId="77777777" w:rsidR="00AB2FD7" w:rsidRPr="00AB2FD7" w:rsidRDefault="00AB2FD7" w:rsidP="00AB2FD7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 w:rsidRPr="00AB2FD7">
        <w:rPr>
          <w:rFonts w:ascii="Cambria" w:hAnsi="Cambria"/>
        </w:rPr>
        <w:t>Yanlış bir sayı tuşlanırsa temizleme (CLEAR) tuşuna basılır ve kopya sayısı tekrar girilir.</w:t>
      </w:r>
    </w:p>
    <w:p w14:paraId="4960F656" w14:textId="77777777" w:rsidR="00AB2FD7" w:rsidRPr="00AB2FD7" w:rsidRDefault="00AB2FD7" w:rsidP="00AB2FD7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 w:rsidRPr="00AB2FD7">
        <w:rPr>
          <w:rFonts w:ascii="Cambria" w:hAnsi="Cambria"/>
        </w:rPr>
        <w:t>Başlatma (START) tuşuna basarak kopyalama işlemi başlatılır.</w:t>
      </w:r>
    </w:p>
    <w:p w14:paraId="27D71C82" w14:textId="77777777" w:rsidR="00AB2FD7" w:rsidRPr="00AB2FD7" w:rsidRDefault="00AB2FD7" w:rsidP="00AB2FD7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 w:rsidRPr="00AB2FD7">
        <w:rPr>
          <w:rFonts w:ascii="Cambria" w:hAnsi="Cambria"/>
        </w:rPr>
        <w:t>Kopyalama işlemini durdurmak için Durdurma (STOP) tuşuna basılır</w:t>
      </w:r>
    </w:p>
    <w:p w14:paraId="026D63D9" w14:textId="77777777" w:rsidR="00AB2FD7" w:rsidRDefault="00AB2FD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99C2D49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37821EDE" w14:textId="77777777" w:rsidR="00AB2FD7" w:rsidRDefault="00AB2FD7" w:rsidP="00AB2FD7">
      <w:pPr>
        <w:pStyle w:val="AralkYok"/>
        <w:jc w:val="both"/>
        <w:rPr>
          <w:rFonts w:ascii="Cambria" w:hAnsi="Cambria"/>
        </w:rPr>
      </w:pPr>
    </w:p>
    <w:p w14:paraId="15E6F0DC" w14:textId="77777777" w:rsidR="00AB2FD7" w:rsidRPr="00AB2FD7" w:rsidRDefault="00AB2FD7" w:rsidP="00AB2FD7">
      <w:pPr>
        <w:pStyle w:val="AralkYok"/>
        <w:jc w:val="both"/>
        <w:rPr>
          <w:rFonts w:ascii="Cambria" w:hAnsi="Cambria"/>
        </w:rPr>
      </w:pPr>
      <w:r w:rsidRPr="000E032B">
        <w:rPr>
          <w:rFonts w:ascii="Cambria" w:hAnsi="Cambria"/>
        </w:rPr>
        <w:t>İlgili doküman bulunmamaktadır.</w:t>
      </w:r>
    </w:p>
    <w:p w14:paraId="57B2E2F7" w14:textId="77777777" w:rsidR="00AB2FD7" w:rsidRPr="00454D81" w:rsidRDefault="00AB2FD7" w:rsidP="004D4FAA">
      <w:pPr>
        <w:pStyle w:val="ListeParagraf"/>
        <w:rPr>
          <w:rFonts w:ascii="Cambria" w:hAnsi="Cambria"/>
          <w:b/>
          <w:color w:val="002060"/>
        </w:rPr>
      </w:pPr>
    </w:p>
    <w:p w14:paraId="04B9FCAB" w14:textId="77777777" w:rsidR="004D4FAA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E1EE4EA" w14:textId="77777777" w:rsidR="00AB2FD7" w:rsidRDefault="00AB2FD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240D913" w14:textId="77777777" w:rsidR="00AB2FD7" w:rsidRDefault="00AB2FD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CD46F50" w14:textId="77777777" w:rsidR="00AB2FD7" w:rsidRDefault="00AB2FD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CBF3FDA" w14:textId="77777777" w:rsidR="00AB2FD7" w:rsidRDefault="00AB2FD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0018EB2" w14:textId="77777777" w:rsidR="00AB2FD7" w:rsidRDefault="00AB2FD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6CC3048" w14:textId="77777777" w:rsidR="00AB2FD7" w:rsidRDefault="00AB2FD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sectPr w:rsidR="00AB2FD7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75AB" w14:textId="77777777" w:rsidR="00F9014E" w:rsidRDefault="00F9014E" w:rsidP="00534F7F">
      <w:pPr>
        <w:spacing w:line="240" w:lineRule="auto"/>
      </w:pPr>
      <w:r>
        <w:separator/>
      </w:r>
    </w:p>
  </w:endnote>
  <w:endnote w:type="continuationSeparator" w:id="0">
    <w:p w14:paraId="155D4C38" w14:textId="77777777" w:rsidR="00F9014E" w:rsidRDefault="00F9014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447" w14:textId="77777777" w:rsidR="009E7260" w:rsidRDefault="009E72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85529B" w14:paraId="071B8A04" w14:textId="77777777" w:rsidTr="00224DF1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6D4839A" w14:textId="77777777" w:rsidR="0085529B" w:rsidRDefault="0085529B" w:rsidP="008552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31C998DE" w14:textId="77777777" w:rsidR="0085529B" w:rsidRPr="0085529B" w:rsidRDefault="0085529B" w:rsidP="0085529B">
          <w:pPr>
            <w:tabs>
              <w:tab w:val="center" w:pos="4536"/>
              <w:tab w:val="right" w:pos="9072"/>
            </w:tabs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 xml:space="preserve">                  Kalite Koordinatörlüğü</w:t>
          </w: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DFA4209" w14:textId="77777777" w:rsidR="0085529B" w:rsidRDefault="0085529B" w:rsidP="008552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24C40E64" w14:textId="77777777" w:rsidR="0085529B" w:rsidRDefault="0085529B" w:rsidP="008552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068D1DF" w14:textId="77777777" w:rsidR="0085529B" w:rsidRDefault="0085529B" w:rsidP="008552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20480CB0" w14:textId="77777777" w:rsidR="0085529B" w:rsidRDefault="0085529B" w:rsidP="008552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/>
              <w:b/>
              <w:sz w:val="16"/>
              <w:szCs w:val="16"/>
            </w:rPr>
            <w:t>Üniversite Kalite Komisyonu</w:t>
          </w:r>
        </w:p>
      </w:tc>
    </w:tr>
  </w:tbl>
  <w:p w14:paraId="468A7945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B9ED" w14:textId="77777777" w:rsidR="009E7260" w:rsidRDefault="009E72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2AB7" w14:textId="77777777" w:rsidR="00F9014E" w:rsidRDefault="00F9014E" w:rsidP="00534F7F">
      <w:pPr>
        <w:spacing w:line="240" w:lineRule="auto"/>
      </w:pPr>
      <w:r>
        <w:separator/>
      </w:r>
    </w:p>
  </w:footnote>
  <w:footnote w:type="continuationSeparator" w:id="0">
    <w:p w14:paraId="3B1816AA" w14:textId="77777777" w:rsidR="00F9014E" w:rsidRDefault="00F9014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5593" w14:textId="77777777" w:rsidR="00AB2FD7" w:rsidRDefault="00F9014E">
    <w:pPr>
      <w:pStyle w:val="stBilgi"/>
    </w:pPr>
    <w:r>
      <w:rPr>
        <w:noProof/>
        <w:lang w:val="tr-TR" w:eastAsia="tr-TR"/>
      </w:rPr>
      <w:pict w14:anchorId="66F9F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24782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FE1A20" w:rsidRPr="00653303" w14:paraId="65C39A92" w14:textId="77777777" w:rsidTr="0069649D">
      <w:trPr>
        <w:trHeight w:hRule="exact" w:val="288"/>
      </w:trPr>
      <w:tc>
        <w:tcPr>
          <w:tcW w:w="1877" w:type="dxa"/>
          <w:vMerge w:val="restart"/>
        </w:tcPr>
        <w:p w14:paraId="4C4CD691" w14:textId="77777777" w:rsidR="00FE1A20" w:rsidRPr="00FF6E58" w:rsidRDefault="00FE1A20" w:rsidP="00FE1A20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1D853835" wp14:editId="1ACA087F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3AD057C3" w14:textId="77777777" w:rsidR="00FE1A20" w:rsidRPr="00D35AE8" w:rsidRDefault="00FE1A20" w:rsidP="00FE1A20">
          <w:pPr>
            <w:pStyle w:val="AralkYok"/>
            <w:rPr>
              <w:rFonts w:ascii="Times New Roman" w:hAnsi="Times New Roman" w:cs="Times New Roman"/>
              <w:sz w:val="20"/>
              <w:szCs w:val="20"/>
            </w:rPr>
          </w:pPr>
          <w:r w:rsidRPr="00D35AE8">
            <w:rPr>
              <w:rFonts w:ascii="Times New Roman" w:hAnsi="Times New Roman" w:cs="Times New Roman"/>
            </w:rPr>
            <w:t>FOTOKOPİ MAKİNASI KULLANIM TALİMATI</w:t>
          </w:r>
        </w:p>
      </w:tc>
    </w:tr>
    <w:tr w:rsidR="00FE1A20" w:rsidRPr="00FF6E58" w14:paraId="62C6F6D9" w14:textId="77777777" w:rsidTr="0069649D">
      <w:trPr>
        <w:trHeight w:hRule="exact" w:val="349"/>
      </w:trPr>
      <w:tc>
        <w:tcPr>
          <w:tcW w:w="1877" w:type="dxa"/>
          <w:vMerge/>
        </w:tcPr>
        <w:p w14:paraId="1C0DBEDD" w14:textId="77777777" w:rsidR="00FE1A20" w:rsidRPr="00FF6E58" w:rsidRDefault="00FE1A20" w:rsidP="00FE1A20">
          <w:pPr>
            <w:rPr>
              <w:rFonts w:ascii="Times New Roman"/>
            </w:rPr>
          </w:pPr>
        </w:p>
      </w:tc>
      <w:tc>
        <w:tcPr>
          <w:tcW w:w="1690" w:type="dxa"/>
        </w:tcPr>
        <w:p w14:paraId="565FE65F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3815AC4B" w14:textId="77777777" w:rsidR="00FE1A20" w:rsidRPr="00FF6E58" w:rsidRDefault="0030339B" w:rsidP="00FE1A20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0248D6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22</w:t>
          </w:r>
        </w:p>
      </w:tc>
      <w:tc>
        <w:tcPr>
          <w:tcW w:w="2009" w:type="dxa"/>
        </w:tcPr>
        <w:p w14:paraId="327F94A9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6376E1F2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FE1A20" w:rsidRPr="00FF6E58" w14:paraId="20A5AF04" w14:textId="77777777" w:rsidTr="0069649D">
      <w:trPr>
        <w:trHeight w:hRule="exact" w:val="349"/>
      </w:trPr>
      <w:tc>
        <w:tcPr>
          <w:tcW w:w="1877" w:type="dxa"/>
          <w:vMerge/>
        </w:tcPr>
        <w:p w14:paraId="05F8DF4B" w14:textId="77777777" w:rsidR="00FE1A20" w:rsidRPr="00FF6E58" w:rsidRDefault="00FE1A20" w:rsidP="00FE1A20">
          <w:pPr>
            <w:rPr>
              <w:rFonts w:ascii="Times New Roman"/>
            </w:rPr>
          </w:pPr>
        </w:p>
      </w:tc>
      <w:tc>
        <w:tcPr>
          <w:tcW w:w="1690" w:type="dxa"/>
        </w:tcPr>
        <w:p w14:paraId="379AE869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4CD2C568" w14:textId="0B6ADCE3" w:rsidR="00FE1A20" w:rsidRPr="00FF6E58" w:rsidRDefault="00E01DB9" w:rsidP="00FE1A20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4CEC08A3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16143799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FE1A20" w:rsidRPr="00FF6E58" w14:paraId="238D722B" w14:textId="77777777" w:rsidTr="0069649D">
      <w:trPr>
        <w:trHeight w:hRule="exact" w:val="349"/>
      </w:trPr>
      <w:tc>
        <w:tcPr>
          <w:tcW w:w="1877" w:type="dxa"/>
          <w:vMerge/>
        </w:tcPr>
        <w:p w14:paraId="0F37FC68" w14:textId="77777777" w:rsidR="00FE1A20" w:rsidRPr="00FF6E58" w:rsidRDefault="00FE1A20" w:rsidP="00FE1A20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71DACDFC" w14:textId="77777777" w:rsidR="00FE1A20" w:rsidRPr="00FF6E58" w:rsidRDefault="00FE1A20" w:rsidP="00FE1A20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721D4331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67A7985F" w14:textId="77777777" w:rsidR="00FE1A20" w:rsidRPr="00FF6E58" w:rsidRDefault="00FE1A20" w:rsidP="00FE1A20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0461A68E" w14:textId="77777777" w:rsidR="004023B0" w:rsidRPr="004023B0" w:rsidRDefault="00F9014E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53B4A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24783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70A7" w14:textId="77777777" w:rsidR="00AB2FD7" w:rsidRDefault="00F9014E">
    <w:pPr>
      <w:pStyle w:val="stBilgi"/>
    </w:pPr>
    <w:r>
      <w:rPr>
        <w:noProof/>
        <w:lang w:val="tr-TR" w:eastAsia="tr-TR"/>
      </w:rPr>
      <w:pict w14:anchorId="55B5F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24781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41"/>
    <w:multiLevelType w:val="multilevel"/>
    <w:tmpl w:val="8AF43EC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9D7406"/>
    <w:multiLevelType w:val="hybridMultilevel"/>
    <w:tmpl w:val="B6C0589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0738"/>
    <w:multiLevelType w:val="multilevel"/>
    <w:tmpl w:val="292277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48736">
    <w:abstractNumId w:val="1"/>
  </w:num>
  <w:num w:numId="2" w16cid:durableId="2067029131">
    <w:abstractNumId w:val="4"/>
  </w:num>
  <w:num w:numId="3" w16cid:durableId="356543036">
    <w:abstractNumId w:val="0"/>
  </w:num>
  <w:num w:numId="4" w16cid:durableId="826240018">
    <w:abstractNumId w:val="3"/>
  </w:num>
  <w:num w:numId="5" w16cid:durableId="1258103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48D6"/>
    <w:rsid w:val="00032DF9"/>
    <w:rsid w:val="00046B10"/>
    <w:rsid w:val="00076C61"/>
    <w:rsid w:val="00164950"/>
    <w:rsid w:val="0016547C"/>
    <w:rsid w:val="00167BC0"/>
    <w:rsid w:val="001842CA"/>
    <w:rsid w:val="001F6791"/>
    <w:rsid w:val="00224DF1"/>
    <w:rsid w:val="00236E1E"/>
    <w:rsid w:val="00242EC2"/>
    <w:rsid w:val="0027193D"/>
    <w:rsid w:val="002A43AE"/>
    <w:rsid w:val="002B7653"/>
    <w:rsid w:val="0030339B"/>
    <w:rsid w:val="00322D79"/>
    <w:rsid w:val="003230A8"/>
    <w:rsid w:val="00365EE5"/>
    <w:rsid w:val="0036635C"/>
    <w:rsid w:val="003B39E3"/>
    <w:rsid w:val="004023B0"/>
    <w:rsid w:val="00436F6C"/>
    <w:rsid w:val="004400E5"/>
    <w:rsid w:val="004568F6"/>
    <w:rsid w:val="004D4FAA"/>
    <w:rsid w:val="004F27F3"/>
    <w:rsid w:val="00534F7F"/>
    <w:rsid w:val="00551B24"/>
    <w:rsid w:val="0058564F"/>
    <w:rsid w:val="0059169B"/>
    <w:rsid w:val="005B5AD0"/>
    <w:rsid w:val="0061636C"/>
    <w:rsid w:val="0064705C"/>
    <w:rsid w:val="00671FD4"/>
    <w:rsid w:val="006A15CF"/>
    <w:rsid w:val="006F3177"/>
    <w:rsid w:val="00701DC0"/>
    <w:rsid w:val="00706639"/>
    <w:rsid w:val="00715C4E"/>
    <w:rsid w:val="0073606C"/>
    <w:rsid w:val="00751238"/>
    <w:rsid w:val="007C7AE1"/>
    <w:rsid w:val="007D4382"/>
    <w:rsid w:val="00815050"/>
    <w:rsid w:val="0085529B"/>
    <w:rsid w:val="00896680"/>
    <w:rsid w:val="008B4F7F"/>
    <w:rsid w:val="008C72E4"/>
    <w:rsid w:val="0090695B"/>
    <w:rsid w:val="009B7481"/>
    <w:rsid w:val="009E7260"/>
    <w:rsid w:val="009F1EE5"/>
    <w:rsid w:val="00A10A87"/>
    <w:rsid w:val="00A125A4"/>
    <w:rsid w:val="00A354CE"/>
    <w:rsid w:val="00AB2FD7"/>
    <w:rsid w:val="00AB53F9"/>
    <w:rsid w:val="00AD1221"/>
    <w:rsid w:val="00AE088A"/>
    <w:rsid w:val="00B548B8"/>
    <w:rsid w:val="00B94075"/>
    <w:rsid w:val="00BC118B"/>
    <w:rsid w:val="00BC74DD"/>
    <w:rsid w:val="00BC7571"/>
    <w:rsid w:val="00C305C2"/>
    <w:rsid w:val="00CB68D1"/>
    <w:rsid w:val="00CE008E"/>
    <w:rsid w:val="00D01932"/>
    <w:rsid w:val="00D23714"/>
    <w:rsid w:val="00D77868"/>
    <w:rsid w:val="00DD51A4"/>
    <w:rsid w:val="00E01DB9"/>
    <w:rsid w:val="00E36113"/>
    <w:rsid w:val="00E529E0"/>
    <w:rsid w:val="00E703DF"/>
    <w:rsid w:val="00E87FEE"/>
    <w:rsid w:val="00EB317B"/>
    <w:rsid w:val="00ED281D"/>
    <w:rsid w:val="00F9014E"/>
    <w:rsid w:val="00FE1A20"/>
    <w:rsid w:val="00FF0996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EF54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FE1A20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FE1A2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63</cp:revision>
  <dcterms:created xsi:type="dcterms:W3CDTF">2019-02-15T12:25:00Z</dcterms:created>
  <dcterms:modified xsi:type="dcterms:W3CDTF">2023-02-03T10:56:00Z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a4c1b42bf77fa3a1f43d1e6874398c22c49759472550b5b92c1c5a9568ecb1a0</vt:lpwstr>
  </property>
</Properties>
</file>