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19EB385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5AF2825B" w:rsidR="00A22404" w:rsidRPr="00A22404" w:rsidRDefault="002A7354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</w:t>
            </w:r>
            <w:r w:rsidR="00C83A01">
              <w:rPr>
                <w:szCs w:val="24"/>
              </w:rPr>
              <w:t xml:space="preserve"> Sekreterliği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117B5D3A" w:rsidR="00A22404" w:rsidRPr="00A22404" w:rsidRDefault="00C83A01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Teknisyen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533C784D" w:rsidR="00A22404" w:rsidRPr="00A22404" w:rsidRDefault="0001742B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Konservatuvar </w:t>
            </w:r>
            <w:r w:rsidR="00B7077D">
              <w:rPr>
                <w:szCs w:val="24"/>
              </w:rPr>
              <w:t>Sekreteri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47FCECF6" w:rsidR="00A22404" w:rsidRPr="00A22404" w:rsidRDefault="00C840C3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002213F7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3664A8D9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4ED9CAEF" w14:textId="58B16291" w:rsidR="00A22404" w:rsidRPr="00A22404" w:rsidRDefault="00B52F58" w:rsidP="00B52F58">
            <w:pPr>
              <w:pStyle w:val="KonuBal"/>
              <w:ind w:left="0"/>
              <w:rPr>
                <w:szCs w:val="24"/>
              </w:rPr>
            </w:pPr>
            <w:r w:rsidRPr="00B52F58">
              <w:rPr>
                <w:szCs w:val="24"/>
              </w:rPr>
              <w:t>2547 sayılı Yükseköğretim Kanunu’nun 51/b, 51/c maddelerinin gereğince,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Konservatuvar tarafından belirlenen amaç, ilke ve talimatlara uygun olarak;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mevzuat hükümleri çerçevesinde ilgili faaliyetleri yürütmek.</w:t>
            </w:r>
          </w:p>
        </w:tc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561C10C2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Elektrik tesisatı, priz, anahtar, sigorta ve aydınlatma armatürlerinde meydana gelen basit arızaları gidermek.</w:t>
            </w:r>
          </w:p>
          <w:p w14:paraId="0DBBB5E0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 xml:space="preserve">Elektronik ekipmanların (ses sistemi, mikrofon, hoparlör, </w:t>
            </w:r>
            <w:proofErr w:type="gramStart"/>
            <w:r w:rsidRPr="000E2D01">
              <w:rPr>
                <w:rFonts w:ascii="Times New Roman" w:hAnsi="Times New Roman" w:cs="Times New Roman"/>
              </w:rPr>
              <w:t>projeksiyon</w:t>
            </w:r>
            <w:proofErr w:type="gramEnd"/>
            <w:r w:rsidRPr="000E2D01">
              <w:rPr>
                <w:rFonts w:ascii="Times New Roman" w:hAnsi="Times New Roman" w:cs="Times New Roman"/>
              </w:rPr>
              <w:t xml:space="preserve"> vb.) bağlantı ve temel teknik kontrollerini yapmak.</w:t>
            </w:r>
          </w:p>
          <w:p w14:paraId="753D0C37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Sıhhi tesisat arızalarını (musluk, rezervuar, gider tıkanıklığı vb.) gidermek veya ilgili birime bildirmek.</w:t>
            </w:r>
          </w:p>
          <w:p w14:paraId="420AA2E0" w14:textId="7660C518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Isıtma ve soğutma sistemlerinin (Kalorifer, klima, radyatör vb.) temel bakım ve kontrol işlemlerini yapmak</w:t>
            </w:r>
            <w:r w:rsidR="005B12A4" w:rsidRPr="000E2D01">
              <w:rPr>
                <w:rFonts w:ascii="Times New Roman" w:hAnsi="Times New Roman" w:cs="Times New Roman"/>
              </w:rPr>
              <w:t xml:space="preserve"> arızalarını ilgili b</w:t>
            </w:r>
            <w:r w:rsidR="00DB0DDE" w:rsidRPr="000E2D01">
              <w:rPr>
                <w:rFonts w:ascii="Times New Roman" w:hAnsi="Times New Roman" w:cs="Times New Roman"/>
              </w:rPr>
              <w:t>irimlere iletmek</w:t>
            </w:r>
            <w:r w:rsidRPr="000E2D01">
              <w:rPr>
                <w:rFonts w:ascii="Times New Roman" w:hAnsi="Times New Roman" w:cs="Times New Roman"/>
              </w:rPr>
              <w:t>.</w:t>
            </w:r>
          </w:p>
          <w:p w14:paraId="3D372C58" w14:textId="77777777" w:rsidR="00370FAC" w:rsidRPr="00E1749C" w:rsidRDefault="00370FAC" w:rsidP="00370FAC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E1749C">
              <w:rPr>
                <w:rFonts w:ascii="Times New Roman" w:hAnsi="Times New Roman" w:cs="Times New Roman"/>
              </w:rPr>
              <w:t>Konser ve etkinlik öncesinde konser salonunun tüm teknik altyapı kontrollerini gerçekleştirmek.</w:t>
            </w:r>
          </w:p>
          <w:p w14:paraId="15389CA9" w14:textId="77777777" w:rsidR="00370FAC" w:rsidRPr="00E1749C" w:rsidRDefault="00370FAC" w:rsidP="00370FAC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E1749C">
              <w:rPr>
                <w:rFonts w:ascii="Times New Roman" w:hAnsi="Times New Roman" w:cs="Times New Roman"/>
              </w:rPr>
              <w:t>Isıtma, soğutma, havalandırma, ses ve ışık sistemlerini çalışır durumda tutmak ve etkinlik öncesi hazır hale getirmek.</w:t>
            </w:r>
          </w:p>
          <w:p w14:paraId="08AAD1DA" w14:textId="48E15E60" w:rsidR="00370FAC" w:rsidRPr="00E1749C" w:rsidRDefault="00370FAC" w:rsidP="00370FAC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E1749C">
              <w:rPr>
                <w:rFonts w:ascii="Times New Roman" w:hAnsi="Times New Roman" w:cs="Times New Roman"/>
              </w:rPr>
              <w:t>Etkinlik süresince sistemlerin kesintisiz ve güvenli şekilde çalışmasını sağlamak, olası teknik aksaklıklara hızlı müdahale etmek.</w:t>
            </w:r>
          </w:p>
          <w:p w14:paraId="6FF829F6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Teknik arızaları kayıt altına almak ve giderilemeyen arızaları üst amirine bildirmek.</w:t>
            </w:r>
          </w:p>
          <w:p w14:paraId="1E6EB7EF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Elektrik ve teknik panoların güvenliğini sağlamak; yetkisiz müdahaleleri engellemek.</w:t>
            </w:r>
          </w:p>
          <w:p w14:paraId="1892FF27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Periyodik bakım takvimine uygun olarak kontrol ve önleyici bakım faaliyetlerini yürütmek.</w:t>
            </w:r>
          </w:p>
          <w:p w14:paraId="5A533EE7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Enerji tasarrufu ve verimlilik konusunda gerekli tedbirlerin uygulanmasına katkı sağlamak.</w:t>
            </w:r>
          </w:p>
          <w:p w14:paraId="46A1058D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 xml:space="preserve">Yangın alarmı, acil aydınlatma ve benzeri güvenlik sistemlerinin </w:t>
            </w:r>
            <w:proofErr w:type="spellStart"/>
            <w:r w:rsidRPr="000E2D01">
              <w:rPr>
                <w:rFonts w:ascii="Times New Roman" w:hAnsi="Times New Roman" w:cs="Times New Roman"/>
              </w:rPr>
              <w:t>çalışırlığını</w:t>
            </w:r>
            <w:proofErr w:type="spellEnd"/>
            <w:r w:rsidRPr="000E2D01">
              <w:rPr>
                <w:rFonts w:ascii="Times New Roman" w:hAnsi="Times New Roman" w:cs="Times New Roman"/>
              </w:rPr>
              <w:t xml:space="preserve"> kontrol etmek.</w:t>
            </w:r>
          </w:p>
          <w:p w14:paraId="2A5EBFB3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 xml:space="preserve">Teknik </w:t>
            </w:r>
            <w:proofErr w:type="gramStart"/>
            <w:r w:rsidRPr="000E2D01">
              <w:rPr>
                <w:rFonts w:ascii="Times New Roman" w:hAnsi="Times New Roman" w:cs="Times New Roman"/>
              </w:rPr>
              <w:t>ekipman</w:t>
            </w:r>
            <w:proofErr w:type="gramEnd"/>
            <w:r w:rsidRPr="000E2D01">
              <w:rPr>
                <w:rFonts w:ascii="Times New Roman" w:hAnsi="Times New Roman" w:cs="Times New Roman"/>
              </w:rPr>
              <w:t xml:space="preserve"> ve el aletlerini düzenli, güvenli ve amacına uygun şekilde kullanmak ve muhafaza etmek.</w:t>
            </w:r>
          </w:p>
          <w:p w14:paraId="0FED08D4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 xml:space="preserve">İş sağlığı ve güvenliği kurallarına uygun çalışmak; elektrikle çalışma </w:t>
            </w:r>
            <w:proofErr w:type="gramStart"/>
            <w:r w:rsidRPr="000E2D01">
              <w:rPr>
                <w:rFonts w:ascii="Times New Roman" w:hAnsi="Times New Roman" w:cs="Times New Roman"/>
              </w:rPr>
              <w:t>prosedürlerine</w:t>
            </w:r>
            <w:proofErr w:type="gramEnd"/>
            <w:r w:rsidRPr="000E2D01">
              <w:rPr>
                <w:rFonts w:ascii="Times New Roman" w:hAnsi="Times New Roman" w:cs="Times New Roman"/>
              </w:rPr>
              <w:t xml:space="preserve"> riayet etmek.</w:t>
            </w:r>
          </w:p>
          <w:p w14:paraId="1378557B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Yüksek gerilim ve uzmanlık gerektiren işlemleri yetkili birimlere yönlendirmek.</w:t>
            </w:r>
          </w:p>
          <w:p w14:paraId="0A740676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t>Elektrik kesintisi, su kaçağı, gaz kaçağı gibi acil durumlarda hızlı müdahale etmek ve amirini bilgilendirmek.</w:t>
            </w:r>
          </w:p>
          <w:p w14:paraId="202887E1" w14:textId="77777777" w:rsidR="002979CC" w:rsidRPr="000E2D01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0E2D01">
              <w:rPr>
                <w:rFonts w:ascii="Times New Roman" w:hAnsi="Times New Roman" w:cs="Times New Roman"/>
              </w:rPr>
              <w:lastRenderedPageBreak/>
              <w:t>Görev alanındaki riskleri tespit ederek gerekli önlemleri almak veya alınmasını sağlamak.</w:t>
            </w:r>
          </w:p>
          <w:p w14:paraId="19EC2761" w14:textId="34035E2D" w:rsidR="00A22404" w:rsidRPr="002979CC" w:rsidRDefault="002979CC" w:rsidP="00AC5927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2D01">
              <w:rPr>
                <w:rFonts w:ascii="Times New Roman" w:hAnsi="Times New Roman" w:cs="Times New Roman"/>
              </w:rPr>
              <w:t>Amirleri tarafından verilen diğer teknik görevleri yerine getirmek.</w:t>
            </w:r>
          </w:p>
        </w:tc>
      </w:tr>
    </w:tbl>
    <w:p w14:paraId="7A5F7FCC" w14:textId="0D224359" w:rsidR="00316953" w:rsidRDefault="00A22404" w:rsidP="00AC5927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lastRenderedPageBreak/>
        <w:tab/>
      </w: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86E9D" w14:textId="77777777" w:rsidR="001F17BB" w:rsidRDefault="001F17BB" w:rsidP="007746F3">
      <w:r>
        <w:separator/>
      </w:r>
    </w:p>
  </w:endnote>
  <w:endnote w:type="continuationSeparator" w:id="0">
    <w:p w14:paraId="1EBD4E2B" w14:textId="77777777" w:rsidR="001F17BB" w:rsidRDefault="001F17BB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409E" w14:textId="77777777" w:rsidR="00E1749C" w:rsidRDefault="00E174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FDE097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8953" w14:textId="77777777" w:rsidR="00E1749C" w:rsidRDefault="00E17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8491F" w14:textId="77777777" w:rsidR="001F17BB" w:rsidRDefault="001F17BB" w:rsidP="007746F3">
      <w:r>
        <w:separator/>
      </w:r>
    </w:p>
  </w:footnote>
  <w:footnote w:type="continuationSeparator" w:id="0">
    <w:p w14:paraId="4F1BB4E4" w14:textId="77777777" w:rsidR="001F17BB" w:rsidRDefault="001F17BB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E9A7" w14:textId="77777777" w:rsidR="00E1749C" w:rsidRDefault="00E174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62956053" w:rsidR="00BD63AC" w:rsidRPr="00AC420E" w:rsidRDefault="00C83A01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TEKNİSYEN</w:t>
          </w:r>
          <w:r w:rsidR="00A22404">
            <w:rPr>
              <w:rFonts w:ascii="Times New Roman" w:hAnsi="Times New Roman" w:cs="Times New Roman"/>
            </w:rPr>
            <w:t xml:space="preserve"> GÖREV TANIMI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47B06D42" w:rsidR="005D64CF" w:rsidRPr="00837053" w:rsidRDefault="00AE5C2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GRT-144</w:t>
          </w:r>
          <w:bookmarkStart w:id="1" w:name="_GoBack"/>
          <w:bookmarkEnd w:id="1"/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6E6F8F60" w:rsidR="007746F3" w:rsidRDefault="008339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BBA66CA" w:rsidR="009356F0" w:rsidRPr="00837053" w:rsidRDefault="00AE5C2A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1E5F29D2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426AA08F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AE5C2A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D2E1" w14:textId="77777777" w:rsidR="00E1749C" w:rsidRDefault="00E17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B84"/>
    <w:multiLevelType w:val="multilevel"/>
    <w:tmpl w:val="08E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17950"/>
    <w:multiLevelType w:val="multilevel"/>
    <w:tmpl w:val="9282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1742B"/>
    <w:rsid w:val="00027A9E"/>
    <w:rsid w:val="00055E03"/>
    <w:rsid w:val="000E2D01"/>
    <w:rsid w:val="0010734D"/>
    <w:rsid w:val="001228BC"/>
    <w:rsid w:val="0012763F"/>
    <w:rsid w:val="00171E56"/>
    <w:rsid w:val="001876C7"/>
    <w:rsid w:val="001C0EF4"/>
    <w:rsid w:val="001F17BB"/>
    <w:rsid w:val="00216B3D"/>
    <w:rsid w:val="002323A4"/>
    <w:rsid w:val="00255F9C"/>
    <w:rsid w:val="002979CC"/>
    <w:rsid w:val="002A7354"/>
    <w:rsid w:val="00316953"/>
    <w:rsid w:val="00321232"/>
    <w:rsid w:val="003247B1"/>
    <w:rsid w:val="00357AF0"/>
    <w:rsid w:val="00370FAC"/>
    <w:rsid w:val="003E68EF"/>
    <w:rsid w:val="0043294C"/>
    <w:rsid w:val="00453B44"/>
    <w:rsid w:val="00526A07"/>
    <w:rsid w:val="00574F5C"/>
    <w:rsid w:val="005B12A4"/>
    <w:rsid w:val="005B2C99"/>
    <w:rsid w:val="005D3B33"/>
    <w:rsid w:val="005D64CF"/>
    <w:rsid w:val="005F3EF5"/>
    <w:rsid w:val="006756EB"/>
    <w:rsid w:val="006931FF"/>
    <w:rsid w:val="006C258E"/>
    <w:rsid w:val="006C2BF4"/>
    <w:rsid w:val="00762A13"/>
    <w:rsid w:val="0077101C"/>
    <w:rsid w:val="007746F3"/>
    <w:rsid w:val="0078720C"/>
    <w:rsid w:val="007C524B"/>
    <w:rsid w:val="00807061"/>
    <w:rsid w:val="00833911"/>
    <w:rsid w:val="008A713E"/>
    <w:rsid w:val="009356F0"/>
    <w:rsid w:val="00952FC0"/>
    <w:rsid w:val="009537F6"/>
    <w:rsid w:val="00953DFA"/>
    <w:rsid w:val="009C2960"/>
    <w:rsid w:val="009F1309"/>
    <w:rsid w:val="00A22404"/>
    <w:rsid w:val="00A5197A"/>
    <w:rsid w:val="00A631D2"/>
    <w:rsid w:val="00A85793"/>
    <w:rsid w:val="00AC420E"/>
    <w:rsid w:val="00AC5927"/>
    <w:rsid w:val="00AD2629"/>
    <w:rsid w:val="00AE5C2A"/>
    <w:rsid w:val="00B00785"/>
    <w:rsid w:val="00B27D70"/>
    <w:rsid w:val="00B33F63"/>
    <w:rsid w:val="00B43330"/>
    <w:rsid w:val="00B52F58"/>
    <w:rsid w:val="00B7077D"/>
    <w:rsid w:val="00BB1BA4"/>
    <w:rsid w:val="00BB6309"/>
    <w:rsid w:val="00BC4627"/>
    <w:rsid w:val="00BD63AC"/>
    <w:rsid w:val="00BD6F5A"/>
    <w:rsid w:val="00C12BE8"/>
    <w:rsid w:val="00C26C7B"/>
    <w:rsid w:val="00C37714"/>
    <w:rsid w:val="00C83A01"/>
    <w:rsid w:val="00C840C3"/>
    <w:rsid w:val="00CB18D9"/>
    <w:rsid w:val="00D80A95"/>
    <w:rsid w:val="00DB0DDE"/>
    <w:rsid w:val="00E1749C"/>
    <w:rsid w:val="00E21D4D"/>
    <w:rsid w:val="00E35B5B"/>
    <w:rsid w:val="00EA098F"/>
    <w:rsid w:val="00EB3C14"/>
    <w:rsid w:val="00F03B1D"/>
    <w:rsid w:val="00F2143A"/>
    <w:rsid w:val="00F665B3"/>
    <w:rsid w:val="00F729FF"/>
    <w:rsid w:val="00F966CE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32</cp:revision>
  <dcterms:created xsi:type="dcterms:W3CDTF">2026-02-25T13:30:00Z</dcterms:created>
  <dcterms:modified xsi:type="dcterms:W3CDTF">2026-04-06T12:01:00Z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